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6F5C" w14:textId="77777777" w:rsidR="00984F00" w:rsidRDefault="00250101">
      <w:pPr>
        <w:spacing w:after="120"/>
      </w:pPr>
      <w:r>
        <w:rPr>
          <w:rFonts w:ascii="Bebas Neue" w:eastAsia="Bebas Neue" w:hAnsi="Bebas Neue" w:cs="Bebas Neue"/>
          <w:color w:val="A1ACA6"/>
          <w:sz w:val="20"/>
          <w:szCs w:val="20"/>
        </w:rPr>
        <w:t>JAMIE REID</w:t>
      </w:r>
    </w:p>
    <w:p w14:paraId="56E80ACA" w14:textId="77777777" w:rsidR="00984F00" w:rsidRDefault="00250101">
      <w:r>
        <w:rPr>
          <w:rFonts w:ascii="Bebas Neue" w:eastAsia="Bebas Neue" w:hAnsi="Bebas Neue" w:cs="Bebas Neue"/>
          <w:sz w:val="72"/>
          <w:szCs w:val="72"/>
        </w:rPr>
        <w:t>Partner ARR &amp;</w:t>
      </w:r>
    </w:p>
    <w:p w14:paraId="1EF2D6A7" w14:textId="77777777" w:rsidR="00984F00" w:rsidRDefault="00250101">
      <w:r>
        <w:rPr>
          <w:rFonts w:ascii="Bebas Neue" w:eastAsia="Bebas Neue" w:hAnsi="Bebas Neue" w:cs="Bebas Neue"/>
          <w:sz w:val="72"/>
          <w:szCs w:val="72"/>
        </w:rPr>
        <w:t>Forecast Modeling</w:t>
      </w:r>
    </w:p>
    <w:p w14:paraId="65219464" w14:textId="77777777" w:rsidR="00984F00" w:rsidRDefault="00250101">
      <w:pPr>
        <w:spacing w:after="280"/>
      </w:pPr>
      <w:r>
        <w:rPr>
          <w:rFonts w:ascii="Bebas Neue" w:eastAsia="Bebas Neue" w:hAnsi="Bebas Neue" w:cs="Bebas Neue"/>
          <w:color w:val="46624C"/>
          <w:sz w:val="72"/>
          <w:szCs w:val="72"/>
        </w:rPr>
        <w:t>Framework</w:t>
      </w:r>
    </w:p>
    <w:p w14:paraId="5446A45B" w14:textId="77777777" w:rsidR="00984F00" w:rsidRDefault="00250101">
      <w:pPr>
        <w:spacing w:after="400"/>
      </w:pPr>
      <w:r>
        <w:rPr>
          <w:i/>
          <w:iCs/>
          <w:color w:val="6B8F72"/>
        </w:rPr>
        <w:t>For MSPs · Resellers · Distributors · GSIs · SIs · Technology Alliances &amp; Marketplaces</w:t>
      </w:r>
    </w:p>
    <w:p w14:paraId="351C23B5" w14:textId="1FC0F51B" w:rsidR="00984F00" w:rsidRDefault="00250101">
      <w:pPr>
        <w:spacing w:after="480"/>
      </w:pPr>
      <w:r>
        <w:rPr>
          <w:sz w:val="24"/>
          <w:szCs w:val="24"/>
        </w:rPr>
        <w:t xml:space="preserve">Most partner programs measure partners. This framework measures partner sellers and their production </w:t>
      </w:r>
      <w:r w:rsidR="00C60693">
        <w:rPr>
          <w:sz w:val="24"/>
          <w:szCs w:val="24"/>
        </w:rPr>
        <w:t>activity,</w:t>
      </w:r>
      <w:r>
        <w:rPr>
          <w:sz w:val="24"/>
          <w:szCs w:val="24"/>
        </w:rPr>
        <w:t xml:space="preserve"> the shift that turns ecosystems from relationship programs into predictable revenue engines.</w:t>
      </w:r>
    </w:p>
    <w:p w14:paraId="139298C5" w14:textId="77777777" w:rsidR="00984F00" w:rsidRDefault="00984F00">
      <w:pPr>
        <w:pBdr>
          <w:bottom w:val="single" w:sz="10" w:space="0" w:color="46624C"/>
        </w:pBdr>
        <w:spacing w:after="480"/>
      </w:pPr>
    </w:p>
    <w:p w14:paraId="79FB7203" w14:textId="77777777" w:rsidR="00984F00" w:rsidRDefault="00250101">
      <w:pPr>
        <w:spacing w:after="160"/>
      </w:pPr>
      <w:r>
        <w:rPr>
          <w:rFonts w:ascii="Bebas Neue" w:eastAsia="Bebas Neue" w:hAnsi="Bebas Neue" w:cs="Bebas Neue"/>
          <w:color w:val="46624C"/>
          <w:sz w:val="28"/>
          <w:szCs w:val="28"/>
        </w:rPr>
        <w:t>HOW TO USE THIS FRAMEWORK</w:t>
      </w:r>
    </w:p>
    <w:p w14:paraId="3E51E2FD" w14:textId="1B921A90" w:rsidR="00984F00" w:rsidRDefault="00250101">
      <w:pPr>
        <w:spacing w:before="80" w:after="120"/>
      </w:pPr>
      <w:r>
        <w:t xml:space="preserve">This document is structured as an operational reference guide, not a presentation. Each section builds on the </w:t>
      </w:r>
      <w:r w:rsidR="00C60693">
        <w:t>last,</w:t>
      </w:r>
      <w:r>
        <w:t xml:space="preserve"> from how to classify partner revenue, to how to model it, forecast it, and report it to leadership.</w:t>
      </w:r>
    </w:p>
    <w:p w14:paraId="667DCE29" w14:textId="79CE80FC" w:rsidR="00984F00" w:rsidRDefault="00250101">
      <w:pPr>
        <w:spacing w:before="80" w:after="120"/>
      </w:pPr>
      <w:r>
        <w:t xml:space="preserve">Work through the sections sequentially to build your forecasting </w:t>
      </w:r>
      <w:r w:rsidR="00C60693">
        <w:t>model or</w:t>
      </w:r>
      <w:r>
        <w:t xml:space="preserve"> jump to specific sections as needed. Tables include formula templates you can adapt directly.</w:t>
      </w:r>
    </w:p>
    <w:p w14:paraId="035AFB53" w14:textId="77777777" w:rsidR="00984F00" w:rsidRDefault="00250101">
      <w:r>
        <w:br w:type="page"/>
      </w:r>
    </w:p>
    <w:p w14:paraId="54685F5D" w14:textId="6D7D591B" w:rsidR="00984F00" w:rsidRDefault="00C60693">
      <w:pPr>
        <w:pStyle w:val="Heading1"/>
        <w:pBdr>
          <w:bottom w:val="single" w:sz="8" w:space="4" w:color="46624C"/>
        </w:pBdr>
      </w:pPr>
      <w:r>
        <w:lastRenderedPageBreak/>
        <w:t>01 | Partner</w:t>
      </w:r>
      <w:r w:rsidR="00250101">
        <w:t xml:space="preserve"> Revenue Classification</w:t>
      </w:r>
    </w:p>
    <w:p w14:paraId="431F662D" w14:textId="77777777" w:rsidR="00984F00" w:rsidRDefault="00250101">
      <w:pPr>
        <w:spacing w:before="80" w:after="120"/>
      </w:pPr>
      <w:r>
        <w:t>Before forecasting anything, partner revenue must be categorized consistently. Without a shared taxonomy, pipeline data becomes anecdotal and attribution breaks down.</w:t>
      </w:r>
    </w:p>
    <w:p w14:paraId="269F9BB3" w14:textId="77777777" w:rsidR="00984F00" w:rsidRDefault="00250101">
      <w:pPr>
        <w:pStyle w:val="Heading2"/>
      </w:pPr>
      <w:r>
        <w:t>Revenue Classification Model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000"/>
        <w:gridCol w:w="3160"/>
      </w:tblGrid>
      <w:tr w:rsidR="00984F00" w14:paraId="2292843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424E337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Dimension</w:t>
            </w:r>
          </w:p>
        </w:tc>
        <w:tc>
          <w:tcPr>
            <w:tcW w:w="4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2D8FDF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Definition</w:t>
            </w:r>
          </w:p>
        </w:tc>
        <w:tc>
          <w:tcPr>
            <w:tcW w:w="3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CF51E27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Why It Matters</w:t>
            </w:r>
          </w:p>
        </w:tc>
      </w:tr>
      <w:tr w:rsidR="00984F00" w14:paraId="308D1CE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E7788A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Type</w:t>
            </w:r>
          </w:p>
        </w:tc>
        <w:tc>
          <w:tcPr>
            <w:tcW w:w="4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0082D4E" w14:textId="77777777" w:rsidR="00984F00" w:rsidRDefault="00250101">
            <w:r>
              <w:rPr>
                <w:sz w:val="20"/>
                <w:szCs w:val="20"/>
              </w:rPr>
              <w:t>MSP, Reseller, Distributor, SI, GSI, Tech Alliance, Marketplace</w:t>
            </w:r>
          </w:p>
        </w:tc>
        <w:tc>
          <w:tcPr>
            <w:tcW w:w="3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BF0E1D" w14:textId="77777777" w:rsidR="00984F00" w:rsidRDefault="00250101">
            <w:r>
              <w:rPr>
                <w:sz w:val="20"/>
                <w:szCs w:val="20"/>
              </w:rPr>
              <w:t>Different partner motions convert at different rates</w:t>
            </w:r>
          </w:p>
        </w:tc>
      </w:tr>
      <w:tr w:rsidR="00984F00" w14:paraId="5363130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9B278F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Role in Deal</w:t>
            </w:r>
          </w:p>
        </w:tc>
        <w:tc>
          <w:tcPr>
            <w:tcW w:w="4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B4957AA" w14:textId="77777777" w:rsidR="00984F00" w:rsidRDefault="00250101">
            <w:r>
              <w:rPr>
                <w:sz w:val="20"/>
                <w:szCs w:val="20"/>
              </w:rPr>
              <w:t>Sourced, Influenced, Co-Sell, Fulfillment</w:t>
            </w:r>
          </w:p>
        </w:tc>
        <w:tc>
          <w:tcPr>
            <w:tcW w:w="3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B4EFDF" w14:textId="77777777" w:rsidR="00984F00" w:rsidRDefault="00250101">
            <w:r>
              <w:rPr>
                <w:sz w:val="20"/>
                <w:szCs w:val="20"/>
              </w:rPr>
              <w:t>Determines attribution and pipeline weighting</w:t>
            </w:r>
          </w:p>
        </w:tc>
      </w:tr>
      <w:tr w:rsidR="00984F00" w14:paraId="42DDA60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ADEE026" w14:textId="77777777" w:rsidR="00984F00" w:rsidRDefault="00250101">
            <w:r>
              <w:rPr>
                <w:b/>
                <w:bCs/>
                <w:sz w:val="20"/>
                <w:szCs w:val="20"/>
              </w:rPr>
              <w:t>Revenue Motion</w:t>
            </w:r>
          </w:p>
        </w:tc>
        <w:tc>
          <w:tcPr>
            <w:tcW w:w="4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349C008" w14:textId="77777777" w:rsidR="00984F00" w:rsidRDefault="00250101">
            <w:r>
              <w:rPr>
                <w:sz w:val="20"/>
                <w:szCs w:val="20"/>
              </w:rPr>
              <w:t>Resell, Referral, Managed Service, Embedded Tech</w:t>
            </w:r>
          </w:p>
        </w:tc>
        <w:tc>
          <w:tcPr>
            <w:tcW w:w="3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58F5E1" w14:textId="77777777" w:rsidR="00984F00" w:rsidRDefault="00250101">
            <w:r>
              <w:rPr>
                <w:sz w:val="20"/>
                <w:szCs w:val="20"/>
              </w:rPr>
              <w:t>Impacts ARR recognition and margin</w:t>
            </w:r>
          </w:p>
        </w:tc>
      </w:tr>
      <w:tr w:rsidR="00984F00" w14:paraId="185991A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3867E3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Tier</w:t>
            </w:r>
          </w:p>
        </w:tc>
        <w:tc>
          <w:tcPr>
            <w:tcW w:w="4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F65286" w14:textId="77777777" w:rsidR="00984F00" w:rsidRDefault="00250101">
            <w:r>
              <w:rPr>
                <w:sz w:val="20"/>
                <w:szCs w:val="20"/>
              </w:rPr>
              <w:t>Strategic, Growth, Transactional</w:t>
            </w:r>
          </w:p>
        </w:tc>
        <w:tc>
          <w:tcPr>
            <w:tcW w:w="3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C8971A" w14:textId="77777777" w:rsidR="00984F00" w:rsidRDefault="00250101">
            <w:r>
              <w:rPr>
                <w:sz w:val="20"/>
                <w:szCs w:val="20"/>
              </w:rPr>
              <w:t>Drives forecast reliability assumptions</w:t>
            </w:r>
          </w:p>
        </w:tc>
      </w:tr>
      <w:tr w:rsidR="00984F00" w14:paraId="59EDE3D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362310" w14:textId="77777777" w:rsidR="00984F00" w:rsidRDefault="00250101">
            <w:r>
              <w:rPr>
                <w:b/>
                <w:bCs/>
                <w:sz w:val="20"/>
                <w:szCs w:val="20"/>
              </w:rPr>
              <w:t>Route to Market</w:t>
            </w:r>
          </w:p>
        </w:tc>
        <w:tc>
          <w:tcPr>
            <w:tcW w:w="4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AEC03C4" w14:textId="77777777" w:rsidR="00984F00" w:rsidRDefault="00250101">
            <w:r>
              <w:rPr>
                <w:sz w:val="20"/>
                <w:szCs w:val="20"/>
              </w:rPr>
              <w:t>Direct with partner assist, partner resale, marketplace listing</w:t>
            </w:r>
          </w:p>
        </w:tc>
        <w:tc>
          <w:tcPr>
            <w:tcW w:w="3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593FB5" w14:textId="77777777" w:rsidR="00984F00" w:rsidRDefault="00250101">
            <w:proofErr w:type="gramStart"/>
            <w:r>
              <w:rPr>
                <w:sz w:val="20"/>
                <w:szCs w:val="20"/>
              </w:rPr>
              <w:t>Affects</w:t>
            </w:r>
            <w:proofErr w:type="gramEnd"/>
            <w:r>
              <w:rPr>
                <w:sz w:val="20"/>
                <w:szCs w:val="20"/>
              </w:rPr>
              <w:t xml:space="preserve"> forecast ownership and reporting</w:t>
            </w:r>
          </w:p>
        </w:tc>
      </w:tr>
    </w:tbl>
    <w:p w14:paraId="164B5859" w14:textId="77777777" w:rsidR="00984F00" w:rsidRDefault="00250101">
      <w:pPr>
        <w:pStyle w:val="Heading2"/>
      </w:pPr>
      <w:r>
        <w:t>Required CRM Fields</w:t>
      </w:r>
    </w:p>
    <w:p w14:paraId="6389179C" w14:textId="77777777" w:rsidR="00984F00" w:rsidRDefault="00250101">
      <w:pPr>
        <w:spacing w:before="80" w:after="120"/>
      </w:pPr>
      <w:r>
        <w:t>Every opportunity must contain these fields. Without this data model, forecasting breaks.</w:t>
      </w:r>
    </w:p>
    <w:p w14:paraId="1D5BAE3D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Account</w:t>
      </w:r>
    </w:p>
    <w:p w14:paraId="61382995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Type</w:t>
      </w:r>
    </w:p>
    <w:p w14:paraId="42A027A6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Role (Sourced / Influenced / Co-Sell / Fulfillment)</w:t>
      </w:r>
    </w:p>
    <w:p w14:paraId="151DE213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Influence %</w:t>
      </w:r>
    </w:p>
    <w:p w14:paraId="3676B36B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Program Tier</w:t>
      </w:r>
    </w:p>
    <w:p w14:paraId="02CDD269" w14:textId="6054AB5A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Partner </w:t>
      </w:r>
      <w:r w:rsidR="00C60693">
        <w:t>Source,</w:t>
      </w:r>
      <w:r>
        <w:t xml:space="preserve"> who originated the deal</w:t>
      </w:r>
    </w:p>
    <w:p w14:paraId="2D0DC503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Deal Registration ID</w:t>
      </w:r>
    </w:p>
    <w:p w14:paraId="044BC6C8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Marketplace Flag</w:t>
      </w:r>
    </w:p>
    <w:p w14:paraId="6A15A418" w14:textId="77777777" w:rsidR="00984F00" w:rsidRDefault="00984F00">
      <w:pPr>
        <w:spacing w:before="120"/>
      </w:pPr>
    </w:p>
    <w:p w14:paraId="5B452AD2" w14:textId="77777777" w:rsidR="00984F00" w:rsidRDefault="00250101">
      <w:pPr>
        <w:pBdr>
          <w:left w:val="single" w:sz="20" w:space="8" w:color="46624C"/>
        </w:pBdr>
        <w:shd w:val="clear" w:color="auto" w:fill="EDF2EE"/>
        <w:spacing w:before="80" w:after="40"/>
        <w:ind w:left="360"/>
      </w:pPr>
      <w:r>
        <w:rPr>
          <w:b/>
          <w:bCs/>
          <w:color w:val="46624C"/>
        </w:rPr>
        <w:t xml:space="preserve">Best Practice: </w:t>
      </w:r>
      <w:r>
        <w:t>Audit your CRM quarterly to ensure these fields are populated on all partner-involved opportunities. Incomplete data is the most common reason partner forecasts miss.</w:t>
      </w:r>
    </w:p>
    <w:p w14:paraId="21AF793C" w14:textId="74108371" w:rsidR="00984F00" w:rsidRDefault="00C60693">
      <w:pPr>
        <w:pStyle w:val="Heading1"/>
        <w:pBdr>
          <w:bottom w:val="single" w:sz="8" w:space="4" w:color="46624C"/>
        </w:pBdr>
      </w:pPr>
      <w:r>
        <w:t>02 | Partner</w:t>
      </w:r>
      <w:r w:rsidR="00250101">
        <w:t xml:space="preserve"> Pipeline Structure</w:t>
      </w:r>
    </w:p>
    <w:p w14:paraId="63CAB688" w14:textId="74B3E238" w:rsidR="00984F00" w:rsidRDefault="00250101">
      <w:pPr>
        <w:spacing w:before="80" w:after="120"/>
      </w:pPr>
      <w:r>
        <w:lastRenderedPageBreak/>
        <w:t xml:space="preserve">Partner </w:t>
      </w:r>
      <w:proofErr w:type="gramStart"/>
      <w:r>
        <w:t>pipeline</w:t>
      </w:r>
      <w:proofErr w:type="gramEnd"/>
      <w:r>
        <w:t xml:space="preserve"> should be modeled separately from direct </w:t>
      </w:r>
      <w:proofErr w:type="gramStart"/>
      <w:r>
        <w:t xml:space="preserve">sales </w:t>
      </w:r>
      <w:r w:rsidR="00C60693">
        <w:t>pipeline,</w:t>
      </w:r>
      <w:r>
        <w:t xml:space="preserve"> but</w:t>
      </w:r>
      <w:proofErr w:type="gramEnd"/>
      <w:r>
        <w:t xml:space="preserve"> use the same stage definitions to enable meaningful comparison.</w:t>
      </w:r>
    </w:p>
    <w:p w14:paraId="72C96109" w14:textId="77777777" w:rsidR="00984F00" w:rsidRDefault="00250101">
      <w:pPr>
        <w:pStyle w:val="Heading2"/>
      </w:pPr>
      <w:r>
        <w:t>Core Pipeline Categories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984F00" w14:paraId="3BC886A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9C8A1C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Pipeline Type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6B271E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Definition</w:t>
            </w:r>
          </w:p>
        </w:tc>
      </w:tr>
      <w:tr w:rsidR="00984F00" w14:paraId="196AAE3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6E2D64B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Sourced Pipeline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743A702" w14:textId="77777777" w:rsidR="00984F00" w:rsidRDefault="00250101">
            <w:r>
              <w:rPr>
                <w:sz w:val="20"/>
                <w:szCs w:val="20"/>
              </w:rPr>
              <w:t>Deals created and originated by partners</w:t>
            </w:r>
          </w:p>
        </w:tc>
      </w:tr>
      <w:tr w:rsidR="00984F00" w14:paraId="3ACBBBB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CA9B664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Influenced Pipeline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5C6E855" w14:textId="77777777" w:rsidR="00984F00" w:rsidRDefault="00250101">
            <w:r>
              <w:rPr>
                <w:sz w:val="20"/>
                <w:szCs w:val="20"/>
              </w:rPr>
              <w:t>Deals where partners assisted but did not source</w:t>
            </w:r>
          </w:p>
        </w:tc>
      </w:tr>
      <w:tr w:rsidR="00984F00" w14:paraId="6F9A068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EDA6E9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Co-Sell Pipeline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291868" w14:textId="77777777" w:rsidR="00984F00" w:rsidRDefault="00250101">
            <w:r>
              <w:rPr>
                <w:sz w:val="20"/>
                <w:szCs w:val="20"/>
              </w:rPr>
              <w:t>Opportunities jointly worked with your direct sales team</w:t>
            </w:r>
          </w:p>
        </w:tc>
      </w:tr>
      <w:tr w:rsidR="00984F00" w14:paraId="5D6EC01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F8499A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Resell Pipeline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2C380B" w14:textId="77777777" w:rsidR="00984F00" w:rsidRDefault="00250101">
            <w:r>
              <w:rPr>
                <w:sz w:val="20"/>
                <w:szCs w:val="20"/>
              </w:rPr>
              <w:t>Deals where the partner transacts on your behalf</w:t>
            </w:r>
          </w:p>
        </w:tc>
      </w:tr>
    </w:tbl>
    <w:p w14:paraId="7CCBDE67" w14:textId="77777777" w:rsidR="00984F00" w:rsidRDefault="00250101">
      <w:pPr>
        <w:pStyle w:val="Heading2"/>
      </w:pPr>
      <w:r>
        <w:t>Key Ratio Metrics</w:t>
      </w:r>
    </w:p>
    <w:p w14:paraId="341FFED8" w14:textId="77777777" w:rsidR="00984F00" w:rsidRDefault="00250101">
      <w:pPr>
        <w:spacing w:before="80" w:after="120"/>
      </w:pPr>
      <w:r>
        <w:t>Leadership cares about these ratios. Build them into your reporting cadence.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560"/>
        <w:gridCol w:w="2000"/>
      </w:tblGrid>
      <w:tr w:rsidR="00984F00" w14:paraId="26E57E8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806DD3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Metric</w:t>
            </w:r>
          </w:p>
        </w:tc>
        <w:tc>
          <w:tcPr>
            <w:tcW w:w="3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C020AD3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Formula</w:t>
            </w:r>
          </w:p>
        </w:tc>
        <w:tc>
          <w:tcPr>
            <w:tcW w:w="2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660BF5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Target Benchmark</w:t>
            </w:r>
          </w:p>
        </w:tc>
      </w:tr>
      <w:tr w:rsidR="00984F00" w14:paraId="6A7C4FC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342104" w14:textId="77777777" w:rsidR="00984F00" w:rsidRDefault="00250101">
            <w:r>
              <w:rPr>
                <w:b/>
                <w:bCs/>
                <w:sz w:val="20"/>
                <w:szCs w:val="20"/>
              </w:rPr>
              <w:t>Pipeline Coverage</w:t>
            </w:r>
          </w:p>
        </w:tc>
        <w:tc>
          <w:tcPr>
            <w:tcW w:w="3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E368B9" w14:textId="77777777" w:rsidR="00984F00" w:rsidRDefault="00250101">
            <w:r>
              <w:rPr>
                <w:sz w:val="20"/>
                <w:szCs w:val="20"/>
              </w:rPr>
              <w:t>Partner Pipeline ÷ Partner ARR Target</w:t>
            </w:r>
          </w:p>
        </w:tc>
        <w:tc>
          <w:tcPr>
            <w:tcW w:w="2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6356BFB" w14:textId="77777777" w:rsidR="00984F00" w:rsidRDefault="00250101">
            <w:r>
              <w:rPr>
                <w:sz w:val="20"/>
                <w:szCs w:val="20"/>
              </w:rPr>
              <w:t>3x–4x minimum</w:t>
            </w:r>
          </w:p>
        </w:tc>
      </w:tr>
      <w:tr w:rsidR="00984F00" w14:paraId="440D1FF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E0E6096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Sourced Ratio</w:t>
            </w:r>
          </w:p>
        </w:tc>
        <w:tc>
          <w:tcPr>
            <w:tcW w:w="3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89C30A9" w14:textId="77777777" w:rsidR="00984F00" w:rsidRDefault="00250101">
            <w:r>
              <w:rPr>
                <w:sz w:val="20"/>
                <w:szCs w:val="20"/>
              </w:rPr>
              <w:t>Partner Sourced Pipeline ÷ Total Pipeline</w:t>
            </w:r>
          </w:p>
        </w:tc>
        <w:tc>
          <w:tcPr>
            <w:tcW w:w="2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0398E4" w14:textId="77777777" w:rsidR="00984F00" w:rsidRDefault="00250101">
            <w:r>
              <w:rPr>
                <w:sz w:val="20"/>
                <w:szCs w:val="20"/>
              </w:rPr>
              <w:t>Track trend QoQ</w:t>
            </w:r>
          </w:p>
        </w:tc>
      </w:tr>
      <w:tr w:rsidR="00984F00" w14:paraId="0AC96CF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904F53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Influence Rate</w:t>
            </w:r>
          </w:p>
        </w:tc>
        <w:tc>
          <w:tcPr>
            <w:tcW w:w="3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9400203" w14:textId="77777777" w:rsidR="00984F00" w:rsidRDefault="00250101">
            <w:r>
              <w:rPr>
                <w:sz w:val="20"/>
                <w:szCs w:val="20"/>
              </w:rPr>
              <w:t>Partner Influenced Deals ÷ Total Closed Deals</w:t>
            </w:r>
          </w:p>
        </w:tc>
        <w:tc>
          <w:tcPr>
            <w:tcW w:w="2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79A0549" w14:textId="77777777" w:rsidR="00984F00" w:rsidRDefault="00250101">
            <w:r>
              <w:rPr>
                <w:sz w:val="20"/>
                <w:szCs w:val="20"/>
              </w:rPr>
              <w:t>Track trend QoQ</w:t>
            </w:r>
          </w:p>
        </w:tc>
      </w:tr>
      <w:tr w:rsidR="00984F00" w14:paraId="3F0B272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669A25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Pipeline Growth</w:t>
            </w:r>
          </w:p>
        </w:tc>
        <w:tc>
          <w:tcPr>
            <w:tcW w:w="3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3469CA" w14:textId="77777777" w:rsidR="00984F00" w:rsidRDefault="00250101">
            <w:r>
              <w:rPr>
                <w:sz w:val="20"/>
                <w:szCs w:val="20"/>
              </w:rPr>
              <w:t>QoQ Pipeline Change</w:t>
            </w:r>
          </w:p>
        </w:tc>
        <w:tc>
          <w:tcPr>
            <w:tcW w:w="20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0CB3708" w14:textId="77777777" w:rsidR="00984F00" w:rsidRDefault="00250101">
            <w:r>
              <w:rPr>
                <w:sz w:val="20"/>
                <w:szCs w:val="20"/>
              </w:rPr>
              <w:t>Positive trend required</w:t>
            </w:r>
          </w:p>
        </w:tc>
      </w:tr>
    </w:tbl>
    <w:p w14:paraId="79FBB4C4" w14:textId="7BCB70A0" w:rsidR="00984F00" w:rsidRDefault="00C60693">
      <w:pPr>
        <w:pStyle w:val="Heading1"/>
        <w:pBdr>
          <w:bottom w:val="single" w:sz="8" w:space="4" w:color="46624C"/>
        </w:pBdr>
      </w:pPr>
      <w:r>
        <w:t>03 | Forecast</w:t>
      </w:r>
      <w:r w:rsidR="00250101">
        <w:t xml:space="preserve"> Modeling</w:t>
      </w:r>
    </w:p>
    <w:p w14:paraId="4852B312" w14:textId="6A9338E0" w:rsidR="00984F00" w:rsidRDefault="00250101">
      <w:pPr>
        <w:spacing w:before="80" w:after="120"/>
      </w:pPr>
      <w:r>
        <w:t xml:space="preserve">Partner revenue is less predictable than direct sales unless you model conversion behavior by partner type. The mistake most teams make is applying direct sales conversion rates to partner </w:t>
      </w:r>
      <w:proofErr w:type="gramStart"/>
      <w:r w:rsidR="00C60693">
        <w:t>pipeline,</w:t>
      </w:r>
      <w:proofErr w:type="gramEnd"/>
      <w:r>
        <w:t xml:space="preserve"> the motions behave differently.</w:t>
      </w:r>
    </w:p>
    <w:p w14:paraId="27AC9AB9" w14:textId="77777777" w:rsidR="00984F00" w:rsidRDefault="00250101">
      <w:pPr>
        <w:pStyle w:val="Heading2"/>
      </w:pPr>
      <w:r>
        <w:t>Core Forecast Formula</w:t>
      </w:r>
    </w:p>
    <w:p w14:paraId="23B8753D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>Partner Forecast ARR =</w:t>
      </w:r>
    </w:p>
    <w:p w14:paraId="76766A51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 xml:space="preserve">  (Partner Pipeline by Stage × Historical Conversion Rate × Average Deal Size)</w:t>
      </w:r>
    </w:p>
    <w:p w14:paraId="37D9985E" w14:textId="77777777" w:rsidR="00984F00" w:rsidRDefault="00250101">
      <w:pPr>
        <w:pStyle w:val="Heading2"/>
      </w:pPr>
      <w:r>
        <w:t>Conversion Rate Model by Partner Type</w:t>
      </w:r>
    </w:p>
    <w:p w14:paraId="31B71A34" w14:textId="77777777" w:rsidR="00984F00" w:rsidRDefault="00250101">
      <w:pPr>
        <w:spacing w:before="80" w:after="120"/>
      </w:pPr>
      <w:r>
        <w:lastRenderedPageBreak/>
        <w:t>Each partner type has its own conversion curve. Build these from your historical data and refine quarterly.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187"/>
        <w:gridCol w:w="2187"/>
        <w:gridCol w:w="2186"/>
      </w:tblGrid>
      <w:tr w:rsidR="00984F00" w14:paraId="46BFAF7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74FE60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Pipeline Stage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4F9FA4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Reseller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AC063B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MSP</w:t>
            </w:r>
          </w:p>
        </w:tc>
        <w:tc>
          <w:tcPr>
            <w:tcW w:w="2186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A77F35A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GSI / SI</w:t>
            </w:r>
          </w:p>
        </w:tc>
      </w:tr>
      <w:tr w:rsidR="00984F00" w14:paraId="0807DF7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BA6388" w14:textId="77777777" w:rsidR="00984F00" w:rsidRDefault="00250101">
            <w:r>
              <w:rPr>
                <w:b/>
                <w:bCs/>
                <w:sz w:val="20"/>
                <w:szCs w:val="20"/>
              </w:rPr>
              <w:t>Discovery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893E50" w14:textId="77777777" w:rsidR="00984F00" w:rsidRDefault="00250101">
            <w:r>
              <w:rPr>
                <w:sz w:val="20"/>
                <w:szCs w:val="20"/>
              </w:rPr>
              <w:t>15%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2837BD" w14:textId="77777777" w:rsidR="00984F00" w:rsidRDefault="00250101">
            <w:r>
              <w:rPr>
                <w:sz w:val="20"/>
                <w:szCs w:val="20"/>
              </w:rPr>
              <w:t>10%</w:t>
            </w:r>
          </w:p>
        </w:tc>
        <w:tc>
          <w:tcPr>
            <w:tcW w:w="2186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EF1BBB" w14:textId="77777777" w:rsidR="00984F00" w:rsidRDefault="00250101">
            <w:r>
              <w:rPr>
                <w:sz w:val="20"/>
                <w:szCs w:val="20"/>
              </w:rPr>
              <w:t>8%</w:t>
            </w:r>
          </w:p>
        </w:tc>
      </w:tr>
      <w:tr w:rsidR="00984F00" w14:paraId="5BACE2D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151F9E" w14:textId="77777777" w:rsidR="00984F00" w:rsidRDefault="00250101">
            <w:r>
              <w:rPr>
                <w:b/>
                <w:bCs/>
                <w:sz w:val="20"/>
                <w:szCs w:val="20"/>
              </w:rPr>
              <w:t>Qualified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6AB124" w14:textId="77777777" w:rsidR="00984F00" w:rsidRDefault="00250101">
            <w:r>
              <w:rPr>
                <w:sz w:val="20"/>
                <w:szCs w:val="20"/>
              </w:rPr>
              <w:t>30%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21A6329" w14:textId="77777777" w:rsidR="00984F00" w:rsidRDefault="00250101">
            <w:r>
              <w:rPr>
                <w:sz w:val="20"/>
                <w:szCs w:val="20"/>
              </w:rPr>
              <w:t>25%</w:t>
            </w:r>
          </w:p>
        </w:tc>
        <w:tc>
          <w:tcPr>
            <w:tcW w:w="2186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5ACE65" w14:textId="77777777" w:rsidR="00984F00" w:rsidRDefault="00250101">
            <w:r>
              <w:rPr>
                <w:sz w:val="20"/>
                <w:szCs w:val="20"/>
              </w:rPr>
              <w:t>20%</w:t>
            </w:r>
          </w:p>
        </w:tc>
      </w:tr>
      <w:tr w:rsidR="00984F00" w14:paraId="6E7BB68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8820E3" w14:textId="77777777" w:rsidR="00984F00" w:rsidRDefault="00250101">
            <w:r>
              <w:rPr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B626DD3" w14:textId="77777777" w:rsidR="00984F00" w:rsidRDefault="00250101">
            <w:r>
              <w:rPr>
                <w:sz w:val="20"/>
                <w:szCs w:val="20"/>
              </w:rPr>
              <w:t>50%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1BE475" w14:textId="77777777" w:rsidR="00984F00" w:rsidRDefault="00250101">
            <w:r>
              <w:rPr>
                <w:sz w:val="20"/>
                <w:szCs w:val="20"/>
              </w:rPr>
              <w:t>45%</w:t>
            </w:r>
          </w:p>
        </w:tc>
        <w:tc>
          <w:tcPr>
            <w:tcW w:w="2186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B184E2B" w14:textId="77777777" w:rsidR="00984F00" w:rsidRDefault="00250101">
            <w:r>
              <w:rPr>
                <w:sz w:val="20"/>
                <w:szCs w:val="20"/>
              </w:rPr>
              <w:t>40%</w:t>
            </w:r>
          </w:p>
        </w:tc>
      </w:tr>
      <w:tr w:rsidR="00984F00" w14:paraId="2022D82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15B933" w14:textId="77777777" w:rsidR="00984F00" w:rsidRDefault="00250101">
            <w:r>
              <w:rPr>
                <w:b/>
                <w:bCs/>
                <w:sz w:val="20"/>
                <w:szCs w:val="20"/>
              </w:rPr>
              <w:t>Negotiation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6EABE0" w14:textId="77777777" w:rsidR="00984F00" w:rsidRDefault="00250101">
            <w:r>
              <w:rPr>
                <w:sz w:val="20"/>
                <w:szCs w:val="20"/>
              </w:rPr>
              <w:t>75%</w:t>
            </w:r>
          </w:p>
        </w:tc>
        <w:tc>
          <w:tcPr>
            <w:tcW w:w="2187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FC47BC1" w14:textId="77777777" w:rsidR="00984F00" w:rsidRDefault="00250101">
            <w:r>
              <w:rPr>
                <w:sz w:val="20"/>
                <w:szCs w:val="20"/>
              </w:rPr>
              <w:t>70%</w:t>
            </w:r>
          </w:p>
        </w:tc>
        <w:tc>
          <w:tcPr>
            <w:tcW w:w="2186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CC6A9D" w14:textId="77777777" w:rsidR="00984F00" w:rsidRDefault="00250101">
            <w:r>
              <w:rPr>
                <w:sz w:val="20"/>
                <w:szCs w:val="20"/>
              </w:rPr>
              <w:t>65%</w:t>
            </w:r>
          </w:p>
        </w:tc>
      </w:tr>
    </w:tbl>
    <w:p w14:paraId="73CB6F8A" w14:textId="77777777" w:rsidR="00984F00" w:rsidRDefault="00984F00">
      <w:pPr>
        <w:spacing w:before="160"/>
      </w:pPr>
    </w:p>
    <w:p w14:paraId="5E82E862" w14:textId="77777777" w:rsidR="00984F00" w:rsidRDefault="00250101">
      <w:pPr>
        <w:pBdr>
          <w:left w:val="single" w:sz="20" w:space="8" w:color="46624C"/>
        </w:pBdr>
        <w:shd w:val="clear" w:color="auto" w:fill="EDF2EE"/>
        <w:spacing w:before="80" w:after="40"/>
        <w:ind w:left="360"/>
      </w:pPr>
      <w:r>
        <w:rPr>
          <w:b/>
          <w:bCs/>
          <w:color w:val="46624C"/>
        </w:rPr>
        <w:t xml:space="preserve">Key Principle: </w:t>
      </w:r>
      <w:r>
        <w:t>Do not reuse direct sales conversion rates for partner pipeline. Build partner-specific rates from your historical closed data. Even rough estimates improve accuracy over applying a blanket probability.</w:t>
      </w:r>
    </w:p>
    <w:p w14:paraId="7E45198B" w14:textId="77777777" w:rsidR="00984F00" w:rsidRDefault="00250101">
      <w:pPr>
        <w:pStyle w:val="Heading2"/>
      </w:pPr>
      <w:r>
        <w:t>Partner-Powered Revenue Production Model</w:t>
      </w:r>
    </w:p>
    <w:p w14:paraId="3BF1F28A" w14:textId="77777777" w:rsidR="00984F00" w:rsidRDefault="00250101">
      <w:pPr>
        <w:spacing w:before="80" w:after="120"/>
      </w:pPr>
      <w:r>
        <w:t>Based on the production-system approach to partner forecasting, the most accurate ARR models start from seller-level inputs, not pipeline totals.</w:t>
      </w:r>
    </w:p>
    <w:p w14:paraId="4BF27A83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>Partner ARR =</w:t>
      </w:r>
    </w:p>
    <w:p w14:paraId="3052E063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 xml:space="preserve">  Active Sellers</w:t>
      </w:r>
    </w:p>
    <w:p w14:paraId="767705E9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 xml:space="preserve">  × Engagement Rate</w:t>
      </w:r>
    </w:p>
    <w:p w14:paraId="4F2AB494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 xml:space="preserve">  × Deals per Seller</w:t>
      </w:r>
    </w:p>
    <w:p w14:paraId="345E7233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 xml:space="preserve">  × Average Deal Size</w:t>
      </w:r>
    </w:p>
    <w:p w14:paraId="264FDF9A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 xml:space="preserve">  × Win Rate</w:t>
      </w:r>
    </w:p>
    <w:p w14:paraId="6141DEF3" w14:textId="77777777" w:rsidR="00984F00" w:rsidRDefault="00250101">
      <w:pPr>
        <w:spacing w:before="80" w:after="120"/>
      </w:pPr>
      <w:r>
        <w:t xml:space="preserve">Example: 40 active sellers × 60% engagement × 2 deals × $75k deal size × </w:t>
      </w:r>
      <w:proofErr w:type="gramStart"/>
      <w:r>
        <w:t>30% win</w:t>
      </w:r>
      <w:proofErr w:type="gramEnd"/>
      <w:r>
        <w:t xml:space="preserve"> rate = $1.08M ARR</w:t>
      </w:r>
    </w:p>
    <w:p w14:paraId="3712FF79" w14:textId="61725AF4" w:rsidR="00984F00" w:rsidRDefault="00250101">
      <w:pPr>
        <w:pBdr>
          <w:left w:val="single" w:sz="20" w:space="8" w:color="46624C"/>
        </w:pBdr>
        <w:shd w:val="clear" w:color="auto" w:fill="EDF2EE"/>
        <w:spacing w:before="80" w:after="40"/>
        <w:ind w:left="360"/>
      </w:pPr>
      <w:r>
        <w:rPr>
          <w:b/>
          <w:bCs/>
          <w:color w:val="46624C"/>
        </w:rPr>
        <w:t xml:space="preserve">Why This Matters: </w:t>
      </w:r>
      <w:r>
        <w:t xml:space="preserve">This formula converts partner ecosystems from relationship programs into measurable production systems. Each variable is </w:t>
      </w:r>
      <w:proofErr w:type="gramStart"/>
      <w:r w:rsidR="00C60693">
        <w:t>actionable,</w:t>
      </w:r>
      <w:proofErr w:type="gramEnd"/>
      <w:r>
        <w:t xml:space="preserve"> you can improve the outcome by improving any input.</w:t>
      </w:r>
    </w:p>
    <w:p w14:paraId="3B228820" w14:textId="1817C360" w:rsidR="00984F00" w:rsidRDefault="00C60693">
      <w:pPr>
        <w:pStyle w:val="Heading1"/>
        <w:pBdr>
          <w:bottom w:val="single" w:sz="8" w:space="4" w:color="46624C"/>
        </w:pBdr>
      </w:pPr>
      <w:r>
        <w:t>04 | ARR</w:t>
      </w:r>
      <w:r w:rsidR="00250101">
        <w:t xml:space="preserve"> Attribution Model</w:t>
      </w:r>
    </w:p>
    <w:p w14:paraId="36CD0719" w14:textId="77777777" w:rsidR="00984F00" w:rsidRDefault="00250101">
      <w:pPr>
        <w:spacing w:before="80" w:after="120"/>
      </w:pPr>
      <w:r>
        <w:t>Partner ecosystems require multi-touch attribution. Without an agreed model, ecosystem value remains invisible to leadership and partner investment decisions are made without data.</w:t>
      </w:r>
    </w:p>
    <w:p w14:paraId="72960AE4" w14:textId="77777777" w:rsidR="00984F00" w:rsidRDefault="00250101">
      <w:pPr>
        <w:pStyle w:val="Heading2"/>
      </w:pPr>
      <w:r>
        <w:t>Attribution by Partner Role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600"/>
        <w:gridCol w:w="4560"/>
      </w:tblGrid>
      <w:tr w:rsidR="00984F00" w14:paraId="0302A4A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2CD19B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Partner Role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F71D5B1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ARR Attribution</w:t>
            </w:r>
          </w:p>
        </w:tc>
        <w:tc>
          <w:tcPr>
            <w:tcW w:w="4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D1FAB7D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984F00" w14:paraId="33286EE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77277ED" w14:textId="77777777" w:rsidR="00984F00" w:rsidRDefault="00250101">
            <w:r>
              <w:rPr>
                <w:b/>
                <w:bCs/>
                <w:sz w:val="20"/>
                <w:szCs w:val="20"/>
              </w:rPr>
              <w:t>Sourced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D6F84DC" w14:textId="77777777" w:rsidR="00984F00" w:rsidRDefault="00250101">
            <w:r>
              <w:rPr>
                <w:sz w:val="20"/>
                <w:szCs w:val="20"/>
              </w:rPr>
              <w:t>100% partner ARR</w:t>
            </w:r>
          </w:p>
        </w:tc>
        <w:tc>
          <w:tcPr>
            <w:tcW w:w="4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48BA85" w14:textId="77777777" w:rsidR="00984F00" w:rsidRDefault="00250101">
            <w:r>
              <w:rPr>
                <w:sz w:val="20"/>
                <w:szCs w:val="20"/>
              </w:rPr>
              <w:t>Partner originated the opportunity with no direct sales involvement</w:t>
            </w:r>
          </w:p>
        </w:tc>
      </w:tr>
      <w:tr w:rsidR="00984F00" w14:paraId="65950A9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33BE62" w14:textId="77777777" w:rsidR="00984F00" w:rsidRDefault="00250101">
            <w:r>
              <w:rPr>
                <w:b/>
                <w:bCs/>
                <w:sz w:val="20"/>
                <w:szCs w:val="20"/>
              </w:rPr>
              <w:t>Co-Sell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91B71FF" w14:textId="77777777" w:rsidR="00984F00" w:rsidRDefault="00250101">
            <w:r>
              <w:rPr>
                <w:sz w:val="20"/>
                <w:szCs w:val="20"/>
              </w:rPr>
              <w:t>50% partner ARR</w:t>
            </w:r>
          </w:p>
        </w:tc>
        <w:tc>
          <w:tcPr>
            <w:tcW w:w="4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F1068D" w14:textId="77777777" w:rsidR="00984F00" w:rsidRDefault="00250101">
            <w:r>
              <w:rPr>
                <w:sz w:val="20"/>
                <w:szCs w:val="20"/>
              </w:rPr>
              <w:t>Jointly worked opportunity with direct sales team</w:t>
            </w:r>
          </w:p>
        </w:tc>
      </w:tr>
      <w:tr w:rsidR="00984F00" w14:paraId="32E9DD9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C3311F" w14:textId="77777777" w:rsidR="00984F00" w:rsidRDefault="00250101">
            <w:r>
              <w:rPr>
                <w:b/>
                <w:bCs/>
                <w:sz w:val="20"/>
                <w:szCs w:val="20"/>
              </w:rPr>
              <w:t>Influenced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84040EF" w14:textId="77777777" w:rsidR="00984F00" w:rsidRDefault="00250101">
            <w:r>
              <w:rPr>
                <w:sz w:val="20"/>
                <w:szCs w:val="20"/>
              </w:rPr>
              <w:t>20–30% partner ARR</w:t>
            </w:r>
          </w:p>
        </w:tc>
        <w:tc>
          <w:tcPr>
            <w:tcW w:w="4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080663" w14:textId="77777777" w:rsidR="00984F00" w:rsidRDefault="00250101">
            <w:r>
              <w:rPr>
                <w:sz w:val="20"/>
                <w:szCs w:val="20"/>
              </w:rPr>
              <w:t>Partner contributed meaningfully but did not source</w:t>
            </w:r>
          </w:p>
        </w:tc>
      </w:tr>
      <w:tr w:rsidR="00984F00" w14:paraId="265DBFC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0E659E5" w14:textId="77777777" w:rsidR="00984F00" w:rsidRDefault="00250101">
            <w:r>
              <w:rPr>
                <w:b/>
                <w:bCs/>
                <w:sz w:val="20"/>
                <w:szCs w:val="20"/>
              </w:rPr>
              <w:t>Fulfillment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138BF2" w14:textId="77777777" w:rsidR="00984F00" w:rsidRDefault="00250101">
            <w:r>
              <w:rPr>
                <w:sz w:val="20"/>
                <w:szCs w:val="20"/>
              </w:rPr>
              <w:t>Operational only</w:t>
            </w:r>
          </w:p>
        </w:tc>
        <w:tc>
          <w:tcPr>
            <w:tcW w:w="45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EC9003" w14:textId="77777777" w:rsidR="00984F00" w:rsidRDefault="00250101">
            <w:r>
              <w:rPr>
                <w:sz w:val="20"/>
                <w:szCs w:val="20"/>
              </w:rPr>
              <w:t>Delivery/implementation role; not attributed to ARR sourcing</w:t>
            </w:r>
          </w:p>
        </w:tc>
      </w:tr>
    </w:tbl>
    <w:p w14:paraId="7592CBFE" w14:textId="77777777" w:rsidR="00984F00" w:rsidRDefault="00250101">
      <w:pPr>
        <w:pStyle w:val="Heading2"/>
      </w:pPr>
      <w:r>
        <w:t>Attribution Example</w:t>
      </w:r>
    </w:p>
    <w:p w14:paraId="1BA8D0E7" w14:textId="77777777" w:rsidR="00984F00" w:rsidRDefault="00250101">
      <w:pPr>
        <w:spacing w:before="80" w:after="120"/>
      </w:pPr>
      <w:r>
        <w:t>For a $100k ARR deal:</w:t>
      </w:r>
    </w:p>
    <w:p w14:paraId="3662EAB0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sourced → $100k attributed to partner ARR</w:t>
      </w:r>
    </w:p>
    <w:p w14:paraId="0BD22155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influenced (25% weight) → $25k attributed to partner ARR</w:t>
      </w:r>
    </w:p>
    <w:p w14:paraId="1755609F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co-sell (50% weight) → $50k attributed to partner ARR</w:t>
      </w:r>
    </w:p>
    <w:p w14:paraId="416863B7" w14:textId="77777777" w:rsidR="00984F00" w:rsidRDefault="00984F00">
      <w:pPr>
        <w:spacing w:before="120"/>
      </w:pPr>
    </w:p>
    <w:p w14:paraId="5CC646E9" w14:textId="39339406" w:rsidR="00984F00" w:rsidRDefault="00250101">
      <w:pPr>
        <w:pBdr>
          <w:left w:val="single" w:sz="20" w:space="8" w:color="46624C"/>
        </w:pBdr>
        <w:shd w:val="clear" w:color="auto" w:fill="EDF2EE"/>
        <w:spacing w:before="80" w:after="40"/>
        <w:ind w:left="360"/>
      </w:pPr>
      <w:r>
        <w:rPr>
          <w:b/>
          <w:bCs/>
          <w:color w:val="46624C"/>
        </w:rPr>
        <w:t xml:space="preserve">Leadership Value: </w:t>
      </w:r>
      <w:r>
        <w:t xml:space="preserve">Attribution models allow executives to see full ecosystem impact beyond resale revenue. This is how you justify investment in influenced and co-sell </w:t>
      </w:r>
      <w:r w:rsidR="00C60693">
        <w:t>motions,</w:t>
      </w:r>
      <w:r>
        <w:t xml:space="preserve"> not just resell.</w:t>
      </w:r>
    </w:p>
    <w:p w14:paraId="06232E44" w14:textId="4A1654E1" w:rsidR="00984F00" w:rsidRDefault="00C60693">
      <w:pPr>
        <w:pStyle w:val="Heading1"/>
        <w:pBdr>
          <w:bottom w:val="single" w:sz="8" w:space="4" w:color="46624C"/>
        </w:pBdr>
      </w:pPr>
      <w:r>
        <w:t>05 | Partner</w:t>
      </w:r>
      <w:r w:rsidR="00250101">
        <w:t xml:space="preserve"> Capacity &amp; Seller Metrics</w:t>
      </w:r>
    </w:p>
    <w:p w14:paraId="0EB29829" w14:textId="6BC0B609" w:rsidR="00984F00" w:rsidRDefault="00250101">
      <w:pPr>
        <w:spacing w:before="80" w:after="120"/>
      </w:pPr>
      <w:r>
        <w:t xml:space="preserve">The most predictive metric in partner ecosystems is not </w:t>
      </w:r>
      <w:proofErr w:type="gramStart"/>
      <w:r>
        <w:t>pipeline</w:t>
      </w:r>
      <w:proofErr w:type="gramEnd"/>
      <w:r>
        <w:t xml:space="preserve"> value or </w:t>
      </w:r>
      <w:r w:rsidR="00C60693">
        <w:t>ARR,</w:t>
      </w:r>
      <w:r>
        <w:t xml:space="preserve"> it is engaged partner sellers. This single variable determines whether the entire production chain exists.</w:t>
      </w:r>
    </w:p>
    <w:p w14:paraId="74840BDF" w14:textId="77777777" w:rsidR="00984F00" w:rsidRDefault="00250101">
      <w:pPr>
        <w:pStyle w:val="Heading2"/>
      </w:pPr>
      <w:r>
        <w:t>Partner Capacity Model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800"/>
        <w:gridCol w:w="2760"/>
      </w:tblGrid>
      <w:tr w:rsidR="00984F00" w14:paraId="54F63EE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8C865F2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Metric</w:t>
            </w:r>
          </w:p>
        </w:tc>
        <w:tc>
          <w:tcPr>
            <w:tcW w:w="3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FBB92D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What It Measures</w:t>
            </w:r>
          </w:p>
        </w:tc>
        <w:tc>
          <w:tcPr>
            <w:tcW w:w="2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FBB907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Why Leadership Cares</w:t>
            </w:r>
          </w:p>
        </w:tc>
      </w:tr>
      <w:tr w:rsidR="00984F00" w14:paraId="18A02CD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5D7D30D" w14:textId="77777777" w:rsidR="00984F00" w:rsidRDefault="00250101">
            <w:r>
              <w:rPr>
                <w:b/>
                <w:bCs/>
                <w:sz w:val="20"/>
                <w:szCs w:val="20"/>
              </w:rPr>
              <w:t>Active Partner Sellers</w:t>
            </w:r>
          </w:p>
        </w:tc>
        <w:tc>
          <w:tcPr>
            <w:tcW w:w="3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C856DD" w14:textId="77777777" w:rsidR="00984F00" w:rsidRDefault="00250101">
            <w:r>
              <w:rPr>
                <w:sz w:val="20"/>
                <w:szCs w:val="20"/>
              </w:rPr>
              <w:t>Individuals at partner organizations actively selling your solution</w:t>
            </w:r>
          </w:p>
        </w:tc>
        <w:tc>
          <w:tcPr>
            <w:tcW w:w="2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7B93E83" w14:textId="77777777" w:rsidR="00984F00" w:rsidRDefault="00250101">
            <w:r>
              <w:rPr>
                <w:sz w:val="20"/>
                <w:szCs w:val="20"/>
              </w:rPr>
              <w:t>True ecosystem selling capacity</w:t>
            </w:r>
          </w:p>
        </w:tc>
      </w:tr>
      <w:tr w:rsidR="00984F00" w14:paraId="54A876A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E3FFE7" w14:textId="77777777" w:rsidR="00984F00" w:rsidRDefault="00250101">
            <w:r>
              <w:rPr>
                <w:b/>
                <w:bCs/>
                <w:sz w:val="20"/>
                <w:szCs w:val="20"/>
              </w:rPr>
              <w:t>Engaged Partner Sellers</w:t>
            </w:r>
          </w:p>
        </w:tc>
        <w:tc>
          <w:tcPr>
            <w:tcW w:w="3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DD20AD" w14:textId="77777777" w:rsidR="00984F00" w:rsidRDefault="00250101">
            <w:r>
              <w:rPr>
                <w:sz w:val="20"/>
                <w:szCs w:val="20"/>
              </w:rPr>
              <w:t xml:space="preserve">Sellers </w:t>
            </w:r>
            <w:proofErr w:type="gramStart"/>
            <w:r>
              <w:rPr>
                <w:sz w:val="20"/>
                <w:szCs w:val="20"/>
              </w:rPr>
              <w:t>actually executing</w:t>
            </w:r>
            <w:proofErr w:type="gramEnd"/>
            <w:r>
              <w:rPr>
                <w:sz w:val="20"/>
                <w:szCs w:val="20"/>
              </w:rPr>
              <w:t xml:space="preserve"> the GTM motion with measurable activity</w:t>
            </w:r>
          </w:p>
        </w:tc>
        <w:tc>
          <w:tcPr>
            <w:tcW w:w="2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3B6BEE" w14:textId="77777777" w:rsidR="00984F00" w:rsidRDefault="00250101">
            <w:r>
              <w:rPr>
                <w:sz w:val="20"/>
                <w:szCs w:val="20"/>
              </w:rPr>
              <w:t>Real production capacity</w:t>
            </w:r>
          </w:p>
        </w:tc>
      </w:tr>
      <w:tr w:rsidR="00984F00" w14:paraId="7746B8F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DDBF15A" w14:textId="77777777" w:rsidR="00984F00" w:rsidRDefault="00250101">
            <w:r>
              <w:rPr>
                <w:b/>
                <w:bCs/>
                <w:sz w:val="20"/>
                <w:szCs w:val="20"/>
              </w:rPr>
              <w:t>Seller Engagement Rate</w:t>
            </w:r>
          </w:p>
        </w:tc>
        <w:tc>
          <w:tcPr>
            <w:tcW w:w="3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C6F4FE" w14:textId="77777777" w:rsidR="00984F00" w:rsidRDefault="00250101">
            <w:r>
              <w:rPr>
                <w:sz w:val="20"/>
                <w:szCs w:val="20"/>
              </w:rPr>
              <w:t>Engaged Sellers ÷ Total Active Sellers</w:t>
            </w:r>
          </w:p>
        </w:tc>
        <w:tc>
          <w:tcPr>
            <w:tcW w:w="2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0B1924F" w14:textId="27426898" w:rsidR="00984F00" w:rsidRDefault="00250101">
            <w:r>
              <w:rPr>
                <w:sz w:val="20"/>
                <w:szCs w:val="20"/>
              </w:rPr>
              <w:t xml:space="preserve">Partner activation </w:t>
            </w:r>
            <w:proofErr w:type="gramStart"/>
            <w:r>
              <w:rPr>
                <w:sz w:val="20"/>
                <w:szCs w:val="20"/>
              </w:rPr>
              <w:t xml:space="preserve">health </w:t>
            </w:r>
            <w:r w:rsidR="00C60693"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exposes inactive sellers</w:t>
            </w:r>
          </w:p>
        </w:tc>
      </w:tr>
      <w:tr w:rsidR="00984F00" w14:paraId="5F77BE5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32B485" w14:textId="77777777" w:rsidR="00984F00" w:rsidRDefault="00250101">
            <w:r>
              <w:rPr>
                <w:b/>
                <w:bCs/>
                <w:sz w:val="20"/>
                <w:szCs w:val="20"/>
              </w:rPr>
              <w:t>Target Accounts per Seller</w:t>
            </w:r>
          </w:p>
        </w:tc>
        <w:tc>
          <w:tcPr>
            <w:tcW w:w="3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44359A" w14:textId="77777777" w:rsidR="00984F00" w:rsidRDefault="00250101">
            <w:r>
              <w:rPr>
                <w:sz w:val="20"/>
                <w:szCs w:val="20"/>
              </w:rPr>
              <w:t>Accounts each seller is actively pursuing</w:t>
            </w:r>
          </w:p>
        </w:tc>
        <w:tc>
          <w:tcPr>
            <w:tcW w:w="2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C8FBFB" w14:textId="77777777" w:rsidR="00984F00" w:rsidRDefault="00250101">
            <w:r>
              <w:rPr>
                <w:sz w:val="20"/>
                <w:szCs w:val="20"/>
              </w:rPr>
              <w:t>Top-of-funnel market coverage</w:t>
            </w:r>
          </w:p>
        </w:tc>
      </w:tr>
    </w:tbl>
    <w:p w14:paraId="0FCF3BD3" w14:textId="77777777" w:rsidR="00984F00" w:rsidRDefault="00984F00">
      <w:pPr>
        <w:spacing w:before="200"/>
      </w:pPr>
    </w:p>
    <w:p w14:paraId="1C36C40E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>Effective Partner Sellers =</w:t>
      </w:r>
    </w:p>
    <w:p w14:paraId="7C0BFB9D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 xml:space="preserve">  Active Sellers × Engagement Rate</w:t>
      </w:r>
    </w:p>
    <w:p w14:paraId="72C0AE84" w14:textId="3A8036FB" w:rsidR="00984F00" w:rsidRDefault="00250101">
      <w:pPr>
        <w:spacing w:before="80" w:after="120"/>
      </w:pPr>
      <w:r>
        <w:t xml:space="preserve">If you have 100 partner sellers but only 35% are engaged, your true selling capacity is 35 </w:t>
      </w:r>
      <w:r w:rsidR="00C60693">
        <w:t>sellers,</w:t>
      </w:r>
      <w:r>
        <w:t xml:space="preserve"> not 100. This is the most common illusion in large partner ecosystems.</w:t>
      </w:r>
    </w:p>
    <w:p w14:paraId="64F40127" w14:textId="77777777" w:rsidR="00984F00" w:rsidRDefault="00250101">
      <w:pPr>
        <w:pStyle w:val="Heading2"/>
      </w:pPr>
      <w:r>
        <w:t>Pipeline Production from Seller Inputs</w:t>
      </w:r>
    </w:p>
    <w:p w14:paraId="7FDD111A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>Partner Pipeline =</w:t>
      </w:r>
    </w:p>
    <w:p w14:paraId="5EE60DC7" w14:textId="77777777" w:rsidR="00984F00" w:rsidRDefault="00250101">
      <w:pPr>
        <w:pBdr>
          <w:left w:val="single" w:sz="12" w:space="8" w:color="46624C"/>
        </w:pBdr>
        <w:shd w:val="clear" w:color="auto" w:fill="EDF2EE"/>
        <w:spacing w:before="60" w:after="60"/>
        <w:ind w:left="720"/>
      </w:pPr>
      <w:r>
        <w:rPr>
          <w:rFonts w:ascii="Courier New" w:eastAsia="Courier New" w:hAnsi="Courier New" w:cs="Courier New"/>
          <w:b/>
          <w:bCs/>
          <w:color w:val="46624C"/>
        </w:rPr>
        <w:t xml:space="preserve">  Effective Sellers × Deals per Seller × Average Deal Size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984F00" w14:paraId="1C3BBF7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AB6489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Metric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3C9C0E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Definition</w:t>
            </w:r>
          </w:p>
        </w:tc>
      </w:tr>
      <w:tr w:rsidR="00984F00" w14:paraId="2837763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B2C43A5" w14:textId="77777777" w:rsidR="00984F00" w:rsidRDefault="00250101">
            <w:r>
              <w:rPr>
                <w:b/>
                <w:bCs/>
                <w:sz w:val="20"/>
                <w:szCs w:val="20"/>
              </w:rPr>
              <w:t>Deals per Partner Seller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C2BD281" w14:textId="77777777" w:rsidR="00984F00" w:rsidRDefault="00250101">
            <w:r>
              <w:rPr>
                <w:sz w:val="20"/>
                <w:szCs w:val="20"/>
              </w:rPr>
              <w:t>Average opportunities created per seller per quarter</w:t>
            </w:r>
          </w:p>
        </w:tc>
      </w:tr>
      <w:tr w:rsidR="00984F00" w14:paraId="7514E06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2BF8754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Sourced Opportunities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B78FD0" w14:textId="77777777" w:rsidR="00984F00" w:rsidRDefault="00250101">
            <w:r>
              <w:rPr>
                <w:sz w:val="20"/>
                <w:szCs w:val="20"/>
              </w:rPr>
              <w:t>Total opportunities created by partner sellers</w:t>
            </w:r>
          </w:p>
        </w:tc>
      </w:tr>
      <w:tr w:rsidR="00984F00" w14:paraId="732D0C7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CF2827A" w14:textId="77777777" w:rsidR="00984F00" w:rsidRDefault="00250101">
            <w:r>
              <w:rPr>
                <w:b/>
                <w:bCs/>
                <w:sz w:val="20"/>
                <w:szCs w:val="20"/>
              </w:rPr>
              <w:t>Average Partner Deal Size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E8443E2" w14:textId="77777777" w:rsidR="00984F00" w:rsidRDefault="00250101">
            <w:r>
              <w:rPr>
                <w:sz w:val="20"/>
                <w:szCs w:val="20"/>
              </w:rPr>
              <w:t>ARR per partner-originated deal</w:t>
            </w:r>
          </w:p>
        </w:tc>
      </w:tr>
      <w:tr w:rsidR="00984F00" w14:paraId="798A577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244297E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Seller Productivity</w:t>
            </w:r>
          </w:p>
        </w:tc>
        <w:tc>
          <w:tcPr>
            <w:tcW w:w="5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F88EC8" w14:textId="77777777" w:rsidR="00984F00" w:rsidRDefault="00250101">
            <w:r>
              <w:rPr>
                <w:sz w:val="20"/>
                <w:szCs w:val="20"/>
              </w:rPr>
              <w:t>Partner ARR ÷ Active Sellers</w:t>
            </w:r>
          </w:p>
        </w:tc>
      </w:tr>
    </w:tbl>
    <w:p w14:paraId="1BF7767C" w14:textId="7825D668" w:rsidR="00984F00" w:rsidRDefault="00C60693">
      <w:pPr>
        <w:pStyle w:val="Heading1"/>
        <w:pBdr>
          <w:bottom w:val="single" w:sz="8" w:space="4" w:color="46624C"/>
        </w:pBdr>
      </w:pPr>
      <w:r>
        <w:t>06 | Core</w:t>
      </w:r>
      <w:r w:rsidR="00250101">
        <w:t xml:space="preserve"> ARR Metrics</w:t>
      </w:r>
    </w:p>
    <w:p w14:paraId="7F893FEB" w14:textId="77777777" w:rsidR="00984F00" w:rsidRDefault="00250101">
      <w:pPr>
        <w:spacing w:before="80" w:after="120"/>
      </w:pPr>
      <w:r>
        <w:t>These are the metrics executives expect to see in partner revenue reporting. Ensure each is tracked in your CRM and surfaced in your partner dashboard.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500"/>
        <w:gridCol w:w="3060"/>
      </w:tblGrid>
      <w:tr w:rsidR="00984F00" w14:paraId="46D0481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662882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Metric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2CF319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76C0D3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Data Source</w:t>
            </w:r>
          </w:p>
        </w:tc>
      </w:tr>
      <w:tr w:rsidR="00984F00" w14:paraId="387C1C5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69F08C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Sourced ARR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3DF70F" w14:textId="77777777" w:rsidR="00984F00" w:rsidRDefault="00250101">
            <w:r>
              <w:rPr>
                <w:sz w:val="20"/>
                <w:szCs w:val="20"/>
              </w:rPr>
              <w:t>ARR originating from partner-sourced deals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3BF03D" w14:textId="1D694A22" w:rsidR="00984F00" w:rsidRDefault="00C60693">
            <w:r>
              <w:rPr>
                <w:sz w:val="20"/>
                <w:szCs w:val="20"/>
              </w:rPr>
              <w:t>CRM,</w:t>
            </w:r>
            <w:r w:rsidR="00250101">
              <w:rPr>
                <w:sz w:val="20"/>
                <w:szCs w:val="20"/>
              </w:rPr>
              <w:t xml:space="preserve"> Partner Role = Sourced</w:t>
            </w:r>
          </w:p>
        </w:tc>
      </w:tr>
      <w:tr w:rsidR="00984F00" w14:paraId="57F1519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C572632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Influenced ARR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610CAE" w14:textId="77777777" w:rsidR="00984F00" w:rsidRDefault="00250101">
            <w:r>
              <w:rPr>
                <w:sz w:val="20"/>
                <w:szCs w:val="20"/>
              </w:rPr>
              <w:t>ARR where partners meaningfully contributed but did not source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3031BF" w14:textId="1EC7878B" w:rsidR="00984F00" w:rsidRDefault="00C60693">
            <w:r>
              <w:rPr>
                <w:sz w:val="20"/>
                <w:szCs w:val="20"/>
              </w:rPr>
              <w:t>CRM,</w:t>
            </w:r>
            <w:r w:rsidR="00250101">
              <w:rPr>
                <w:sz w:val="20"/>
                <w:szCs w:val="20"/>
              </w:rPr>
              <w:t xml:space="preserve"> Partner Role = Influenced</w:t>
            </w:r>
          </w:p>
        </w:tc>
      </w:tr>
      <w:tr w:rsidR="00984F00" w14:paraId="434FDA2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D4DD15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Resell ARR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3261CC" w14:textId="77777777" w:rsidR="00984F00" w:rsidRDefault="00250101">
            <w:r>
              <w:rPr>
                <w:sz w:val="20"/>
                <w:szCs w:val="20"/>
              </w:rPr>
              <w:t>ARR transacted by a partner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DE898E" w14:textId="77777777" w:rsidR="00984F00" w:rsidRDefault="00250101">
            <w:r>
              <w:rPr>
                <w:sz w:val="20"/>
                <w:szCs w:val="20"/>
              </w:rPr>
              <w:t>CRM + finance reconciliation</w:t>
            </w:r>
          </w:p>
        </w:tc>
      </w:tr>
      <w:tr w:rsidR="00984F00" w14:paraId="375B502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704A7A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Marketplace ARR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E61B64" w14:textId="77777777" w:rsidR="00984F00" w:rsidRDefault="00250101">
            <w:r>
              <w:rPr>
                <w:sz w:val="20"/>
                <w:szCs w:val="20"/>
              </w:rPr>
              <w:t>ARR closed through marketplace listings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B58279" w14:textId="77777777" w:rsidR="00984F00" w:rsidRDefault="00250101">
            <w:r>
              <w:rPr>
                <w:sz w:val="20"/>
                <w:szCs w:val="20"/>
              </w:rPr>
              <w:t>Marketplace reporting + CRM</w:t>
            </w:r>
          </w:p>
        </w:tc>
      </w:tr>
      <w:tr w:rsidR="00984F00" w14:paraId="6464C05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1F7755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Expansion ARR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31DF6E" w14:textId="77777777" w:rsidR="00984F00" w:rsidRDefault="00250101">
            <w:r>
              <w:rPr>
                <w:sz w:val="20"/>
                <w:szCs w:val="20"/>
              </w:rPr>
              <w:t>Upsell or expansion revenue generated via partner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B5559DA" w14:textId="2405DD63" w:rsidR="00984F00" w:rsidRDefault="00C60693">
            <w:r>
              <w:rPr>
                <w:sz w:val="20"/>
                <w:szCs w:val="20"/>
              </w:rPr>
              <w:t>CRM,</w:t>
            </w:r>
            <w:r w:rsidR="00250101">
              <w:rPr>
                <w:sz w:val="20"/>
                <w:szCs w:val="20"/>
              </w:rPr>
              <w:t xml:space="preserve"> renewal/expansion object</w:t>
            </w:r>
          </w:p>
        </w:tc>
      </w:tr>
      <w:tr w:rsidR="00984F00" w14:paraId="66835F7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33694E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ARR Contribution %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5B8272" w14:textId="77777777" w:rsidR="00984F00" w:rsidRDefault="00250101">
            <w:r>
              <w:rPr>
                <w:sz w:val="20"/>
                <w:szCs w:val="20"/>
              </w:rPr>
              <w:t>Partner ARR ÷ Total ARR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A8103A" w14:textId="77777777" w:rsidR="00984F00" w:rsidRDefault="00250101">
            <w:r>
              <w:rPr>
                <w:sz w:val="20"/>
                <w:szCs w:val="20"/>
              </w:rPr>
              <w:t xml:space="preserve">Calculated field in </w:t>
            </w:r>
            <w:proofErr w:type="gramStart"/>
            <w:r>
              <w:rPr>
                <w:sz w:val="20"/>
                <w:szCs w:val="20"/>
              </w:rPr>
              <w:t>BI layer</w:t>
            </w:r>
            <w:proofErr w:type="gramEnd"/>
          </w:p>
        </w:tc>
      </w:tr>
      <w:tr w:rsidR="00984F00" w14:paraId="6918978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8F2C66D" w14:textId="77777777" w:rsidR="00984F00" w:rsidRDefault="00250101">
            <w:r>
              <w:rPr>
                <w:b/>
                <w:bCs/>
                <w:sz w:val="20"/>
                <w:szCs w:val="20"/>
              </w:rPr>
              <w:t>ARR per Active Partner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4B32E25" w14:textId="77777777" w:rsidR="00984F00" w:rsidRDefault="00250101">
            <w:r>
              <w:rPr>
                <w:sz w:val="20"/>
                <w:szCs w:val="20"/>
              </w:rPr>
              <w:t>Total Partner ARR ÷ Active Partners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8FE2686" w14:textId="0E7C5995" w:rsidR="00984F00" w:rsidRDefault="00C60693">
            <w:r>
              <w:rPr>
                <w:sz w:val="20"/>
                <w:szCs w:val="20"/>
              </w:rPr>
              <w:t>Calculated,</w:t>
            </w:r>
            <w:r w:rsidR="00250101">
              <w:rPr>
                <w:sz w:val="20"/>
                <w:szCs w:val="20"/>
              </w:rPr>
              <w:t xml:space="preserve"> ecosystem efficiency</w:t>
            </w:r>
          </w:p>
        </w:tc>
      </w:tr>
      <w:tr w:rsidR="00984F00" w14:paraId="622301D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790BDF" w14:textId="77777777" w:rsidR="00984F00" w:rsidRDefault="00250101">
            <w:r>
              <w:rPr>
                <w:b/>
                <w:bCs/>
                <w:sz w:val="20"/>
                <w:szCs w:val="20"/>
              </w:rPr>
              <w:lastRenderedPageBreak/>
              <w:t>ARR per Partner Seller</w:t>
            </w:r>
          </w:p>
        </w:tc>
        <w:tc>
          <w:tcPr>
            <w:tcW w:w="35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1C96C51" w14:textId="77777777" w:rsidR="00984F00" w:rsidRDefault="00250101">
            <w:r>
              <w:rPr>
                <w:sz w:val="20"/>
                <w:szCs w:val="20"/>
              </w:rPr>
              <w:t>Total Partner ARR ÷ Active Sellers</w:t>
            </w:r>
          </w:p>
        </w:tc>
        <w:tc>
          <w:tcPr>
            <w:tcW w:w="30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74D0E1A" w14:textId="04D6A208" w:rsidR="00984F00" w:rsidRDefault="00250101">
            <w:proofErr w:type="gramStart"/>
            <w:r>
              <w:rPr>
                <w:sz w:val="20"/>
                <w:szCs w:val="20"/>
              </w:rPr>
              <w:t xml:space="preserve">Calculated </w:t>
            </w:r>
            <w:r w:rsidR="00C60693"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seller productivity</w:t>
            </w:r>
          </w:p>
        </w:tc>
      </w:tr>
    </w:tbl>
    <w:p w14:paraId="740B7664" w14:textId="1B5F9FFA" w:rsidR="00984F00" w:rsidRDefault="00C60693">
      <w:pPr>
        <w:pStyle w:val="Heading1"/>
        <w:pBdr>
          <w:bottom w:val="single" w:sz="8" w:space="4" w:color="46624C"/>
        </w:pBdr>
      </w:pPr>
      <w:r>
        <w:t>07 | Forecast</w:t>
      </w:r>
      <w:r w:rsidR="00250101">
        <w:t xml:space="preserve"> Confidence Scoring</w:t>
      </w:r>
    </w:p>
    <w:p w14:paraId="76C9C4E0" w14:textId="77777777" w:rsidR="00984F00" w:rsidRDefault="00250101">
      <w:pPr>
        <w:spacing w:before="80" w:after="120"/>
      </w:pPr>
      <w:r>
        <w:t>Forecast confidence should be tied to partner engagement behavior, not just deal stage. Partner deals with weak engagement signals are less reliable regardless of stage.</w:t>
      </w:r>
    </w:p>
    <w:p w14:paraId="3592AA9B" w14:textId="77777777" w:rsidR="00984F00" w:rsidRDefault="00250101">
      <w:pPr>
        <w:pStyle w:val="Heading2"/>
      </w:pPr>
      <w:r>
        <w:t>Partner Deal Confidence Score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200"/>
        <w:gridCol w:w="4960"/>
      </w:tblGrid>
      <w:tr w:rsidR="00984F00" w14:paraId="78439BF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6A7BF12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Scoring Factor</w:t>
            </w:r>
          </w:p>
        </w:tc>
        <w:tc>
          <w:tcPr>
            <w:tcW w:w="1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59E94E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Weight</w:t>
            </w:r>
          </w:p>
        </w:tc>
        <w:tc>
          <w:tcPr>
            <w:tcW w:w="4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0585863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What to Measure</w:t>
            </w:r>
          </w:p>
        </w:tc>
      </w:tr>
      <w:tr w:rsidR="00984F00" w14:paraId="218F439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C32FF1" w14:textId="77777777" w:rsidR="00984F00" w:rsidRDefault="00250101">
            <w:r>
              <w:rPr>
                <w:b/>
                <w:bCs/>
                <w:sz w:val="20"/>
                <w:szCs w:val="20"/>
              </w:rPr>
              <w:t>Sales Stage</w:t>
            </w:r>
          </w:p>
        </w:tc>
        <w:tc>
          <w:tcPr>
            <w:tcW w:w="1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1308E4" w14:textId="77777777" w:rsidR="00984F00" w:rsidRDefault="00250101">
            <w:r>
              <w:rPr>
                <w:sz w:val="20"/>
                <w:szCs w:val="20"/>
              </w:rPr>
              <w:t>25%</w:t>
            </w:r>
          </w:p>
        </w:tc>
        <w:tc>
          <w:tcPr>
            <w:tcW w:w="4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48F295" w14:textId="77777777" w:rsidR="00984F00" w:rsidRDefault="00250101">
            <w:r>
              <w:rPr>
                <w:sz w:val="20"/>
                <w:szCs w:val="20"/>
              </w:rPr>
              <w:t>Stage maturity in partner pipeline</w:t>
            </w:r>
          </w:p>
        </w:tc>
      </w:tr>
      <w:tr w:rsidR="00984F00" w14:paraId="68C1991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204B93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Tier</w:t>
            </w:r>
          </w:p>
        </w:tc>
        <w:tc>
          <w:tcPr>
            <w:tcW w:w="1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0012D4" w14:textId="77777777" w:rsidR="00984F00" w:rsidRDefault="00250101">
            <w:r>
              <w:rPr>
                <w:sz w:val="20"/>
                <w:szCs w:val="20"/>
              </w:rPr>
              <w:t>20%</w:t>
            </w:r>
          </w:p>
        </w:tc>
        <w:tc>
          <w:tcPr>
            <w:tcW w:w="4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7DF3359" w14:textId="77777777" w:rsidR="00984F00" w:rsidRDefault="00250101">
            <w:r>
              <w:rPr>
                <w:sz w:val="20"/>
                <w:szCs w:val="20"/>
              </w:rPr>
              <w:t>Strategic partners forecast more reliably</w:t>
            </w:r>
          </w:p>
        </w:tc>
      </w:tr>
      <w:tr w:rsidR="00984F00" w14:paraId="50BC32A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61C3884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Deal History</w:t>
            </w:r>
          </w:p>
        </w:tc>
        <w:tc>
          <w:tcPr>
            <w:tcW w:w="1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B0FC43" w14:textId="77777777" w:rsidR="00984F00" w:rsidRDefault="00250101">
            <w:r>
              <w:rPr>
                <w:sz w:val="20"/>
                <w:szCs w:val="20"/>
              </w:rPr>
              <w:t>20%</w:t>
            </w:r>
          </w:p>
        </w:tc>
        <w:tc>
          <w:tcPr>
            <w:tcW w:w="4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7CA8E27" w14:textId="77777777" w:rsidR="00984F00" w:rsidRDefault="00250101">
            <w:r>
              <w:rPr>
                <w:sz w:val="20"/>
                <w:szCs w:val="20"/>
              </w:rPr>
              <w:t>Win rate history with this specific partner</w:t>
            </w:r>
          </w:p>
        </w:tc>
      </w:tr>
      <w:tr w:rsidR="00984F00" w14:paraId="1B34222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F00B41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Engagement Activity</w:t>
            </w:r>
          </w:p>
        </w:tc>
        <w:tc>
          <w:tcPr>
            <w:tcW w:w="1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9ECAD9B" w14:textId="77777777" w:rsidR="00984F00" w:rsidRDefault="00250101">
            <w:r>
              <w:rPr>
                <w:sz w:val="20"/>
                <w:szCs w:val="20"/>
              </w:rPr>
              <w:t>15%</w:t>
            </w:r>
          </w:p>
        </w:tc>
        <w:tc>
          <w:tcPr>
            <w:tcW w:w="4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7CCE9DA" w14:textId="77777777" w:rsidR="00984F00" w:rsidRDefault="00250101">
            <w:r>
              <w:rPr>
                <w:sz w:val="20"/>
                <w:szCs w:val="20"/>
              </w:rPr>
              <w:t>Joint calls, registration activity, deal updates</w:t>
            </w:r>
          </w:p>
        </w:tc>
      </w:tr>
      <w:tr w:rsidR="00984F00" w14:paraId="387BE9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A0F9A85" w14:textId="77777777" w:rsidR="00984F00" w:rsidRDefault="00250101">
            <w:r>
              <w:rPr>
                <w:b/>
                <w:bCs/>
                <w:sz w:val="20"/>
                <w:szCs w:val="20"/>
              </w:rPr>
              <w:t>Technical Validation</w:t>
            </w:r>
          </w:p>
        </w:tc>
        <w:tc>
          <w:tcPr>
            <w:tcW w:w="1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A7C46D" w14:textId="77777777" w:rsidR="00984F00" w:rsidRDefault="00250101">
            <w:r>
              <w:rPr>
                <w:sz w:val="20"/>
                <w:szCs w:val="20"/>
              </w:rPr>
              <w:t>10%</w:t>
            </w:r>
          </w:p>
        </w:tc>
        <w:tc>
          <w:tcPr>
            <w:tcW w:w="4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627307C" w14:textId="77777777" w:rsidR="00984F00" w:rsidRDefault="00250101">
            <w:r>
              <w:rPr>
                <w:sz w:val="20"/>
                <w:szCs w:val="20"/>
              </w:rPr>
              <w:t>POC completed, technical fit confirmed</w:t>
            </w:r>
          </w:p>
        </w:tc>
      </w:tr>
      <w:tr w:rsidR="00984F00" w14:paraId="43578B5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B20A2A" w14:textId="77777777" w:rsidR="00984F00" w:rsidRDefault="00250101">
            <w:r>
              <w:rPr>
                <w:b/>
                <w:bCs/>
                <w:sz w:val="20"/>
                <w:szCs w:val="20"/>
              </w:rPr>
              <w:t>Executive Alignment</w:t>
            </w:r>
          </w:p>
        </w:tc>
        <w:tc>
          <w:tcPr>
            <w:tcW w:w="1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D3CA2E8" w14:textId="77777777" w:rsidR="00984F00" w:rsidRDefault="00250101">
            <w:r>
              <w:rPr>
                <w:sz w:val="20"/>
                <w:szCs w:val="20"/>
              </w:rPr>
              <w:t>10%</w:t>
            </w:r>
          </w:p>
        </w:tc>
        <w:tc>
          <w:tcPr>
            <w:tcW w:w="4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427A38" w14:textId="77777777" w:rsidR="00984F00" w:rsidRDefault="00250101">
            <w:r>
              <w:rPr>
                <w:sz w:val="20"/>
                <w:szCs w:val="20"/>
              </w:rPr>
              <w:t>Executive sponsor identified at customer</w:t>
            </w:r>
          </w:p>
        </w:tc>
      </w:tr>
    </w:tbl>
    <w:p w14:paraId="10885528" w14:textId="77777777" w:rsidR="00984F00" w:rsidRDefault="00984F00">
      <w:pPr>
        <w:spacing w:before="200"/>
      </w:pPr>
    </w:p>
    <w:p w14:paraId="593791E2" w14:textId="77777777" w:rsidR="00984F00" w:rsidRDefault="00250101">
      <w:pPr>
        <w:pBdr>
          <w:left w:val="single" w:sz="20" w:space="8" w:color="46624C"/>
        </w:pBdr>
        <w:shd w:val="clear" w:color="auto" w:fill="EDF2EE"/>
        <w:spacing w:before="80" w:after="40"/>
        <w:ind w:left="360"/>
      </w:pPr>
      <w:r>
        <w:rPr>
          <w:b/>
          <w:bCs/>
          <w:color w:val="46624C"/>
        </w:rPr>
        <w:t xml:space="preserve">Application: </w:t>
      </w:r>
      <w:r>
        <w:t>Deals scoring above 70% receive full forecast probability. Deals scoring 40–70% are discounted by 25%. Deals below 40% are excluded from committed forecast and tracked in upside.</w:t>
      </w:r>
    </w:p>
    <w:p w14:paraId="2C5D3F16" w14:textId="22F8453F" w:rsidR="00984F00" w:rsidRDefault="00C60693">
      <w:pPr>
        <w:pStyle w:val="Heading1"/>
        <w:pBdr>
          <w:bottom w:val="single" w:sz="8" w:space="4" w:color="46624C"/>
        </w:pBdr>
      </w:pPr>
      <w:r>
        <w:t>08 | Pipeline</w:t>
      </w:r>
      <w:r w:rsidR="00250101">
        <w:t xml:space="preserve"> Coverage Targets</w:t>
      </w:r>
    </w:p>
    <w:p w14:paraId="1049F79A" w14:textId="77777777" w:rsidR="00984F00" w:rsidRDefault="00250101">
      <w:pPr>
        <w:spacing w:before="80" w:after="120"/>
      </w:pPr>
      <w:r>
        <w:t>Pipeline coverage targets vary by partner type because conversion rates and sales cycles differ. Do not apply uniform coverage targets across the ecosystem.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600"/>
        <w:gridCol w:w="3960"/>
      </w:tblGrid>
      <w:tr w:rsidR="00984F00" w14:paraId="3EF1C44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0AC82CD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Partner Type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229A42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Pipeline Coverage Target</w:t>
            </w:r>
          </w:p>
        </w:tc>
        <w:tc>
          <w:tcPr>
            <w:tcW w:w="3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84C120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Rationale</w:t>
            </w:r>
          </w:p>
        </w:tc>
      </w:tr>
      <w:tr w:rsidR="00984F00" w14:paraId="1A6623B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C031DCC" w14:textId="77777777" w:rsidR="00984F00" w:rsidRDefault="00250101">
            <w:r>
              <w:rPr>
                <w:b/>
                <w:bCs/>
                <w:sz w:val="20"/>
                <w:szCs w:val="20"/>
              </w:rPr>
              <w:t>Reseller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E9B04AE" w14:textId="77777777" w:rsidR="00984F00" w:rsidRDefault="00250101">
            <w:r>
              <w:rPr>
                <w:sz w:val="20"/>
                <w:szCs w:val="20"/>
              </w:rPr>
              <w:t>3x</w:t>
            </w:r>
          </w:p>
        </w:tc>
        <w:tc>
          <w:tcPr>
            <w:tcW w:w="3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0F84CB" w14:textId="77777777" w:rsidR="00984F00" w:rsidRDefault="00250101">
            <w:r>
              <w:rPr>
                <w:sz w:val="20"/>
                <w:szCs w:val="20"/>
              </w:rPr>
              <w:t>Faster cycles, higher close rates</w:t>
            </w:r>
          </w:p>
        </w:tc>
      </w:tr>
      <w:tr w:rsidR="00984F00" w14:paraId="4D3F046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74A6ED" w14:textId="77777777" w:rsidR="00984F00" w:rsidRDefault="00250101">
            <w:r>
              <w:rPr>
                <w:b/>
                <w:bCs/>
                <w:sz w:val="20"/>
                <w:szCs w:val="20"/>
              </w:rPr>
              <w:t>MSP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534B993" w14:textId="77777777" w:rsidR="00984F00" w:rsidRDefault="00250101">
            <w:r>
              <w:rPr>
                <w:sz w:val="20"/>
                <w:szCs w:val="20"/>
              </w:rPr>
              <w:t>2.5x</w:t>
            </w:r>
          </w:p>
        </w:tc>
        <w:tc>
          <w:tcPr>
            <w:tcW w:w="3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2C01052" w14:textId="77777777" w:rsidR="00984F00" w:rsidRDefault="00250101">
            <w:r>
              <w:rPr>
                <w:sz w:val="20"/>
                <w:szCs w:val="20"/>
              </w:rPr>
              <w:t>Managed service deals qualify tighter</w:t>
            </w:r>
          </w:p>
        </w:tc>
      </w:tr>
      <w:tr w:rsidR="00984F00" w14:paraId="3167BF0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5991C45" w14:textId="77777777" w:rsidR="00984F00" w:rsidRDefault="00250101">
            <w:r>
              <w:rPr>
                <w:b/>
                <w:bCs/>
                <w:sz w:val="20"/>
                <w:szCs w:val="20"/>
              </w:rPr>
              <w:t>GSI / SI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DDE3AA9" w14:textId="77777777" w:rsidR="00984F00" w:rsidRDefault="00250101">
            <w:r>
              <w:rPr>
                <w:sz w:val="20"/>
                <w:szCs w:val="20"/>
              </w:rPr>
              <w:t>4x</w:t>
            </w:r>
          </w:p>
        </w:tc>
        <w:tc>
          <w:tcPr>
            <w:tcW w:w="3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7D5D0E" w14:textId="77777777" w:rsidR="00984F00" w:rsidRDefault="00250101">
            <w:r>
              <w:rPr>
                <w:sz w:val="20"/>
                <w:szCs w:val="20"/>
              </w:rPr>
              <w:t>Longer cycles, more complex qualification</w:t>
            </w:r>
          </w:p>
        </w:tc>
      </w:tr>
      <w:tr w:rsidR="00984F00" w14:paraId="6E89540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4171F77" w14:textId="77777777" w:rsidR="00984F00" w:rsidRDefault="00250101">
            <w:r>
              <w:rPr>
                <w:b/>
                <w:bCs/>
                <w:sz w:val="20"/>
                <w:szCs w:val="20"/>
              </w:rPr>
              <w:lastRenderedPageBreak/>
              <w:t>Technology Alliance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61F0879" w14:textId="77777777" w:rsidR="00984F00" w:rsidRDefault="00250101">
            <w:r>
              <w:rPr>
                <w:sz w:val="20"/>
                <w:szCs w:val="20"/>
              </w:rPr>
              <w:t>2x</w:t>
            </w:r>
          </w:p>
        </w:tc>
        <w:tc>
          <w:tcPr>
            <w:tcW w:w="3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F94E7B1" w14:textId="77777777" w:rsidR="00984F00" w:rsidRDefault="00250101">
            <w:r>
              <w:rPr>
                <w:sz w:val="20"/>
                <w:szCs w:val="20"/>
              </w:rPr>
              <w:t>Higher intent deals, co-sell motions</w:t>
            </w:r>
          </w:p>
        </w:tc>
      </w:tr>
      <w:tr w:rsidR="00984F00" w14:paraId="7530A9E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56A865D" w14:textId="77777777" w:rsidR="00984F00" w:rsidRDefault="00250101">
            <w:r>
              <w:rPr>
                <w:b/>
                <w:bCs/>
                <w:sz w:val="20"/>
                <w:szCs w:val="20"/>
              </w:rPr>
              <w:t>Marketplace</w:t>
            </w:r>
          </w:p>
        </w:tc>
        <w:tc>
          <w:tcPr>
            <w:tcW w:w="26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B15935" w14:textId="77777777" w:rsidR="00984F00" w:rsidRDefault="00250101">
            <w:r>
              <w:rPr>
                <w:sz w:val="20"/>
                <w:szCs w:val="20"/>
              </w:rPr>
              <w:t>1.5x–2x</w:t>
            </w:r>
          </w:p>
        </w:tc>
        <w:tc>
          <w:tcPr>
            <w:tcW w:w="39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8B7FB4D" w14:textId="77777777" w:rsidR="00984F00" w:rsidRDefault="00250101">
            <w:r>
              <w:rPr>
                <w:sz w:val="20"/>
                <w:szCs w:val="20"/>
              </w:rPr>
              <w:t>Intent signals are strong at registration</w:t>
            </w:r>
          </w:p>
        </w:tc>
      </w:tr>
    </w:tbl>
    <w:p w14:paraId="7EB540E1" w14:textId="3460CB4E" w:rsidR="00984F00" w:rsidRDefault="00C60693">
      <w:pPr>
        <w:pStyle w:val="Heading1"/>
        <w:pBdr>
          <w:bottom w:val="single" w:sz="8" w:space="4" w:color="46624C"/>
        </w:pBdr>
      </w:pPr>
      <w:r>
        <w:t>09 | Executive</w:t>
      </w:r>
      <w:r w:rsidR="00250101">
        <w:t xml:space="preserve"> Dashboard Structure</w:t>
      </w:r>
    </w:p>
    <w:p w14:paraId="0A86F46C" w14:textId="238BA72F" w:rsidR="00984F00" w:rsidRDefault="00250101">
      <w:pPr>
        <w:spacing w:before="80" w:after="120"/>
      </w:pPr>
      <w:r>
        <w:t xml:space="preserve">Leadership dashboards should answer five questions. Build your reporting model around these question </w:t>
      </w:r>
      <w:r w:rsidR="00C60693">
        <w:t>blocks,</w:t>
      </w:r>
      <w:r>
        <w:t xml:space="preserve"> each </w:t>
      </w:r>
      <w:proofErr w:type="gramStart"/>
      <w:r>
        <w:t>maps</w:t>
      </w:r>
      <w:proofErr w:type="gramEnd"/>
      <w:r>
        <w:t xml:space="preserve"> to an operational metric set.</w:t>
      </w:r>
    </w:p>
    <w:p w14:paraId="765B904C" w14:textId="77777777" w:rsidR="00984F00" w:rsidRDefault="00250101">
      <w:pPr>
        <w:pStyle w:val="Heading2"/>
      </w:pPr>
      <w:r>
        <w:t>Dashboard Block 1: Partner Revenue Contribution</w:t>
      </w:r>
    </w:p>
    <w:p w14:paraId="31BBB53D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% of total ARR from partners (sourced + influenced)</w:t>
      </w:r>
    </w:p>
    <w:p w14:paraId="0924A1EE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ARR by partner type</w:t>
      </w:r>
    </w:p>
    <w:p w14:paraId="5D64E6D9" w14:textId="7E4A658F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Partner ARR </w:t>
      </w:r>
      <w:r w:rsidR="00C60693">
        <w:t>trend,</w:t>
      </w:r>
      <w:r>
        <w:t xml:space="preserve"> QoQ and YoY</w:t>
      </w:r>
    </w:p>
    <w:p w14:paraId="02F9064D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Marketplace ARR as standalone line</w:t>
      </w:r>
    </w:p>
    <w:p w14:paraId="267367EE" w14:textId="77777777" w:rsidR="00984F00" w:rsidRDefault="00250101">
      <w:pPr>
        <w:pStyle w:val="Heading2"/>
      </w:pPr>
      <w:r>
        <w:t>Dashboard Block 2: Pipeline Health</w:t>
      </w:r>
    </w:p>
    <w:p w14:paraId="3466D288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pipeline coverage vs. ARR target</w:t>
      </w:r>
    </w:p>
    <w:p w14:paraId="67A7774E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sourced vs. influenced pipeline split</w:t>
      </w:r>
    </w:p>
    <w:p w14:paraId="1E98EB9E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Pipeline by partner type</w:t>
      </w:r>
    </w:p>
    <w:p w14:paraId="6B93BEAC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Pipeline growth rate QoQ</w:t>
      </w:r>
    </w:p>
    <w:p w14:paraId="1E06C81E" w14:textId="77777777" w:rsidR="00984F00" w:rsidRDefault="00250101">
      <w:pPr>
        <w:pStyle w:val="Heading2"/>
      </w:pPr>
      <w:r>
        <w:t>Dashboard Block 3: Forecast Accuracy</w:t>
      </w:r>
    </w:p>
    <w:p w14:paraId="0537F5A7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Forecast vs. actual partner ARR by quarter</w:t>
      </w:r>
    </w:p>
    <w:p w14:paraId="4ED7B779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Conversion rate by partner type vs. model</w:t>
      </w:r>
    </w:p>
    <w:p w14:paraId="44A67273" w14:textId="011421D1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Variance </w:t>
      </w:r>
      <w:r w:rsidR="00C60693">
        <w:t>analysis,</w:t>
      </w:r>
      <w:r>
        <w:t xml:space="preserve"> where forecasts </w:t>
      </w:r>
      <w:proofErr w:type="gramStart"/>
      <w:r>
        <w:t>missed</w:t>
      </w:r>
      <w:proofErr w:type="gramEnd"/>
      <w:r>
        <w:t xml:space="preserve"> and why</w:t>
      </w:r>
    </w:p>
    <w:p w14:paraId="40818948" w14:textId="77777777" w:rsidR="00984F00" w:rsidRDefault="00250101">
      <w:pPr>
        <w:pStyle w:val="Heading2"/>
      </w:pPr>
      <w:r>
        <w:t>Dashboard Block 4: Partner Productivity</w:t>
      </w:r>
    </w:p>
    <w:p w14:paraId="447C7163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Top 10 partners by pipeline generated</w:t>
      </w:r>
    </w:p>
    <w:p w14:paraId="7516C1D2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Win rates by partner and partner type</w:t>
      </w:r>
    </w:p>
    <w:p w14:paraId="051693D9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ARR per active partner and ARR per active seller</w:t>
      </w:r>
    </w:p>
    <w:p w14:paraId="4E32975D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Average deal size by partner type</w:t>
      </w:r>
    </w:p>
    <w:p w14:paraId="05E5B915" w14:textId="77777777" w:rsidR="00984F00" w:rsidRDefault="00250101">
      <w:pPr>
        <w:pStyle w:val="Heading2"/>
      </w:pPr>
      <w:r>
        <w:t>Dashboard Block 5: Ecosystem Growth Signals</w:t>
      </w:r>
    </w:p>
    <w:p w14:paraId="58FA1C7D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New partners generating pipeline (net new activations)</w:t>
      </w:r>
    </w:p>
    <w:p w14:paraId="0E23DAA7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lastRenderedPageBreak/>
        <w:t>Seller engagement rate trend</w:t>
      </w:r>
    </w:p>
    <w:p w14:paraId="1087FA15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Marketplace revenue trends and growth</w:t>
      </w:r>
    </w:p>
    <w:p w14:paraId="4B91C10F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Partner expansion ARR from existing customer base</w:t>
      </w:r>
    </w:p>
    <w:p w14:paraId="31A83697" w14:textId="58998D0D" w:rsidR="00984F00" w:rsidRDefault="00C60693">
      <w:pPr>
        <w:pStyle w:val="Heading1"/>
        <w:pBdr>
          <w:bottom w:val="single" w:sz="8" w:space="4" w:color="46624C"/>
        </w:pBdr>
      </w:pPr>
      <w:r>
        <w:t>10 | Data</w:t>
      </w:r>
      <w:r w:rsidR="00250101">
        <w:t xml:space="preserve"> Architecture Requirements</w:t>
      </w:r>
    </w:p>
    <w:p w14:paraId="1D43060A" w14:textId="77777777" w:rsidR="00984F00" w:rsidRDefault="00250101">
      <w:pPr>
        <w:spacing w:before="80" w:after="120"/>
      </w:pPr>
      <w:r>
        <w:t>This framework depends on clean CRM and PRM data. Without structured data at the opportunity level, none of the forecasting models function reliably.</w:t>
      </w:r>
    </w:p>
    <w:p w14:paraId="2F4B768A" w14:textId="77777777" w:rsidR="00984F00" w:rsidRDefault="00250101">
      <w:pPr>
        <w:pStyle w:val="Heading2"/>
      </w:pPr>
      <w:r>
        <w:t>Required CRM Objects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984F00" w14:paraId="2FD99B3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0F5BDA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Object</w:t>
            </w:r>
          </w:p>
        </w:tc>
        <w:tc>
          <w:tcPr>
            <w:tcW w:w="6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43C496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Purpose</w:t>
            </w:r>
          </w:p>
        </w:tc>
      </w:tr>
      <w:tr w:rsidR="00984F00" w14:paraId="511D405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A2455F6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Accounts</w:t>
            </w:r>
          </w:p>
        </w:tc>
        <w:tc>
          <w:tcPr>
            <w:tcW w:w="6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02950F" w14:textId="77777777" w:rsidR="00984F00" w:rsidRDefault="00250101">
            <w:r>
              <w:rPr>
                <w:sz w:val="20"/>
                <w:szCs w:val="20"/>
              </w:rPr>
              <w:t>Partner organization profiles with tier, type, and status</w:t>
            </w:r>
          </w:p>
        </w:tc>
      </w:tr>
      <w:tr w:rsidR="00984F00" w14:paraId="4F6C8F7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A3AD014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Contacts</w:t>
            </w:r>
          </w:p>
        </w:tc>
        <w:tc>
          <w:tcPr>
            <w:tcW w:w="6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D4D741E" w14:textId="77777777" w:rsidR="00984F00" w:rsidRDefault="00250101">
            <w:r>
              <w:rPr>
                <w:sz w:val="20"/>
                <w:szCs w:val="20"/>
              </w:rPr>
              <w:t>Individual seller contacts linked to partner accounts</w:t>
            </w:r>
          </w:p>
        </w:tc>
      </w:tr>
      <w:tr w:rsidR="00984F00" w14:paraId="77530FD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C8D014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Opportunities</w:t>
            </w:r>
          </w:p>
        </w:tc>
        <w:tc>
          <w:tcPr>
            <w:tcW w:w="6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CE34ECE" w14:textId="77777777" w:rsidR="00984F00" w:rsidRDefault="00250101">
            <w:r>
              <w:rPr>
                <w:sz w:val="20"/>
                <w:szCs w:val="20"/>
              </w:rPr>
              <w:t>Opportunities with full partner attribution fields populated</w:t>
            </w:r>
          </w:p>
        </w:tc>
      </w:tr>
      <w:tr w:rsidR="00984F00" w14:paraId="77A56FF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894D273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Attribution Object</w:t>
            </w:r>
          </w:p>
        </w:tc>
        <w:tc>
          <w:tcPr>
            <w:tcW w:w="6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5A6A1C" w14:textId="77777777" w:rsidR="00984F00" w:rsidRDefault="00250101">
            <w:r>
              <w:rPr>
                <w:sz w:val="20"/>
                <w:szCs w:val="20"/>
              </w:rPr>
              <w:t>Multi-touch attribution records linked to opportunities</w:t>
            </w:r>
          </w:p>
        </w:tc>
      </w:tr>
      <w:tr w:rsidR="00984F00" w14:paraId="094D983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C52EA0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Engagement Activities</w:t>
            </w:r>
          </w:p>
        </w:tc>
        <w:tc>
          <w:tcPr>
            <w:tcW w:w="61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79A6626" w14:textId="77777777" w:rsidR="00984F00" w:rsidRDefault="00250101">
            <w:r>
              <w:rPr>
                <w:sz w:val="20"/>
                <w:szCs w:val="20"/>
              </w:rPr>
              <w:t>Joint calls, deal registrations, campaign participation</w:t>
            </w:r>
          </w:p>
        </w:tc>
      </w:tr>
    </w:tbl>
    <w:p w14:paraId="00D58313" w14:textId="77777777" w:rsidR="00984F00" w:rsidRDefault="00250101">
      <w:pPr>
        <w:pStyle w:val="Heading2"/>
      </w:pPr>
      <w:r>
        <w:t>Required Opportunity Fields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760"/>
        <w:gridCol w:w="3200"/>
      </w:tblGrid>
      <w:tr w:rsidR="00984F00" w14:paraId="6C50A3A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122481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0F2FF9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Values / Format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2B3D2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B030E5" w14:textId="77777777" w:rsidR="00984F00" w:rsidRDefault="00250101">
            <w:r>
              <w:rPr>
                <w:b/>
                <w:bCs/>
                <w:color w:val="FFFFFF"/>
                <w:sz w:val="20"/>
                <w:szCs w:val="20"/>
              </w:rPr>
              <w:t>Required For</w:t>
            </w:r>
          </w:p>
        </w:tc>
      </w:tr>
      <w:tr w:rsidR="00984F00" w14:paraId="10A5C1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A2E4DA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Source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0327F66" w14:textId="77777777" w:rsidR="00984F00" w:rsidRDefault="00250101">
            <w:r>
              <w:rPr>
                <w:sz w:val="20"/>
                <w:szCs w:val="20"/>
              </w:rPr>
              <w:t>Partner Account lookup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4E3DCD" w14:textId="77777777" w:rsidR="00984F00" w:rsidRDefault="00250101">
            <w:r>
              <w:rPr>
                <w:sz w:val="20"/>
                <w:szCs w:val="20"/>
              </w:rPr>
              <w:t>Pipeline reporting</w:t>
            </w:r>
          </w:p>
        </w:tc>
      </w:tr>
      <w:tr w:rsidR="00984F00" w14:paraId="3F413C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09D2A2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Type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E26AEB" w14:textId="77777777" w:rsidR="00984F00" w:rsidRDefault="00250101">
            <w:r>
              <w:rPr>
                <w:sz w:val="20"/>
                <w:szCs w:val="20"/>
              </w:rPr>
              <w:t>Picklist: MSP / Reseller / Distributor / SI / GSI / Tech Alliance / Marketplace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2C7996" w14:textId="77777777" w:rsidR="00984F00" w:rsidRDefault="00250101">
            <w:r>
              <w:rPr>
                <w:sz w:val="20"/>
                <w:szCs w:val="20"/>
              </w:rPr>
              <w:t>Conversion modeling</w:t>
            </w:r>
          </w:p>
        </w:tc>
      </w:tr>
      <w:tr w:rsidR="00984F00" w14:paraId="68D283F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4BB89AA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Role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9D264E" w14:textId="77777777" w:rsidR="00984F00" w:rsidRDefault="00250101">
            <w:r>
              <w:rPr>
                <w:sz w:val="20"/>
                <w:szCs w:val="20"/>
              </w:rPr>
              <w:t>Picklist: Sourced / Co-Sell / Influenced / Fulfillment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D37F96" w14:textId="77777777" w:rsidR="00984F00" w:rsidRDefault="00250101">
            <w:r>
              <w:rPr>
                <w:sz w:val="20"/>
                <w:szCs w:val="20"/>
              </w:rPr>
              <w:t>Attribution model</w:t>
            </w:r>
          </w:p>
        </w:tc>
      </w:tr>
      <w:tr w:rsidR="00C60693" w14:paraId="50FE36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8E5BD3" w14:textId="426EC3CE" w:rsidR="00C60693" w:rsidRDefault="00C606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Sales Reps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46591AE" w14:textId="78D58247" w:rsidR="00C60693" w:rsidRDefault="00C6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Partner &amp; Vendor sales reps associated with co-sell opportunity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792ACDB" w14:textId="1308AA9D" w:rsidR="00C60693" w:rsidRDefault="00C6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Co-sell modeling</w:t>
            </w:r>
          </w:p>
        </w:tc>
      </w:tr>
      <w:tr w:rsidR="00984F00" w14:paraId="4F7EDB3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1E93B1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Tier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14E723" w14:textId="77777777" w:rsidR="00984F00" w:rsidRDefault="00250101">
            <w:r>
              <w:rPr>
                <w:sz w:val="20"/>
                <w:szCs w:val="20"/>
              </w:rPr>
              <w:t>Picklist: Strategic / Growth / Transactional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F3EAAD" w14:textId="77777777" w:rsidR="00984F00" w:rsidRDefault="00250101">
            <w:r>
              <w:rPr>
                <w:sz w:val="20"/>
                <w:szCs w:val="20"/>
              </w:rPr>
              <w:t>Forecast confidence scoring</w:t>
            </w:r>
          </w:p>
        </w:tc>
      </w:tr>
      <w:tr w:rsidR="00984F00" w14:paraId="5148F0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0ABF0AB" w14:textId="77777777" w:rsidR="00984F00" w:rsidRDefault="00250101">
            <w:r>
              <w:rPr>
                <w:b/>
                <w:bCs/>
                <w:sz w:val="20"/>
                <w:szCs w:val="20"/>
              </w:rPr>
              <w:t>Partner Influence %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3CB259" w14:textId="77777777" w:rsidR="00984F00" w:rsidRDefault="00250101">
            <w:r>
              <w:rPr>
                <w:sz w:val="20"/>
                <w:szCs w:val="20"/>
              </w:rPr>
              <w:t>Number field (0–100)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693058F" w14:textId="77777777" w:rsidR="00984F00" w:rsidRDefault="00250101">
            <w:r>
              <w:rPr>
                <w:sz w:val="20"/>
                <w:szCs w:val="20"/>
              </w:rPr>
              <w:t>Influenced ARR calculation</w:t>
            </w:r>
          </w:p>
        </w:tc>
      </w:tr>
      <w:tr w:rsidR="00984F00" w14:paraId="0DFE212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64F93DA" w14:textId="77777777" w:rsidR="00984F00" w:rsidRDefault="00250101">
            <w:r>
              <w:rPr>
                <w:b/>
                <w:bCs/>
                <w:sz w:val="20"/>
                <w:szCs w:val="20"/>
              </w:rPr>
              <w:t>Deal Registration ID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E817A4" w14:textId="77777777" w:rsidR="00984F00" w:rsidRDefault="00250101">
            <w:r>
              <w:rPr>
                <w:sz w:val="20"/>
                <w:szCs w:val="20"/>
              </w:rPr>
              <w:t>Text / lookup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DFDBC0" w14:textId="77777777" w:rsidR="00984F00" w:rsidRDefault="00250101">
            <w:r>
              <w:rPr>
                <w:sz w:val="20"/>
                <w:szCs w:val="20"/>
              </w:rPr>
              <w:t>Deal registration compliance</w:t>
            </w:r>
          </w:p>
        </w:tc>
      </w:tr>
      <w:tr w:rsidR="00984F00" w14:paraId="758081E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4B9FAD" w14:textId="77777777" w:rsidR="00984F00" w:rsidRDefault="00250101">
            <w:r>
              <w:rPr>
                <w:b/>
                <w:bCs/>
                <w:sz w:val="20"/>
                <w:szCs w:val="20"/>
              </w:rPr>
              <w:t>Marketplace Flag</w:t>
            </w:r>
          </w:p>
        </w:tc>
        <w:tc>
          <w:tcPr>
            <w:tcW w:w="376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5399202" w14:textId="77777777" w:rsidR="00984F00" w:rsidRDefault="00250101">
            <w:r>
              <w:rPr>
                <w:sz w:val="20"/>
                <w:szCs w:val="20"/>
              </w:rPr>
              <w:t>Boolean</w:t>
            </w:r>
          </w:p>
        </w:tc>
        <w:tc>
          <w:tcPr>
            <w:tcW w:w="3200" w:type="dxa"/>
            <w:tcBorders>
              <w:top w:val="single" w:sz="4" w:space="0" w:color="D0D8D2"/>
              <w:left w:val="single" w:sz="4" w:space="0" w:color="D0D8D2"/>
              <w:bottom w:val="single" w:sz="4" w:space="0" w:color="D0D8D2"/>
              <w:right w:val="single" w:sz="4" w:space="0" w:color="D0D8D2"/>
            </w:tcBorders>
            <w:shd w:val="clear" w:color="auto" w:fill="F5F5F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CA30841" w14:textId="77777777" w:rsidR="00984F00" w:rsidRDefault="00250101">
            <w:r>
              <w:rPr>
                <w:sz w:val="20"/>
                <w:szCs w:val="20"/>
              </w:rPr>
              <w:t>Marketplace ARR tracking</w:t>
            </w:r>
          </w:p>
        </w:tc>
      </w:tr>
    </w:tbl>
    <w:p w14:paraId="5E05328B" w14:textId="77777777" w:rsidR="00984F00" w:rsidRDefault="00984F00">
      <w:pPr>
        <w:spacing w:before="200"/>
      </w:pPr>
    </w:p>
    <w:p w14:paraId="0870E96C" w14:textId="77777777" w:rsidR="00984F00" w:rsidRDefault="00250101">
      <w:pPr>
        <w:pBdr>
          <w:left w:val="single" w:sz="20" w:space="8" w:color="46624C"/>
        </w:pBdr>
        <w:shd w:val="clear" w:color="auto" w:fill="EDF2EE"/>
        <w:spacing w:before="80" w:after="40"/>
        <w:ind w:left="360"/>
      </w:pPr>
      <w:r>
        <w:rPr>
          <w:b/>
          <w:bCs/>
          <w:color w:val="46624C"/>
        </w:rPr>
        <w:lastRenderedPageBreak/>
        <w:t xml:space="preserve">Data Quality Note: </w:t>
      </w:r>
      <w:r>
        <w:t>Run a quarterly CRM audit on all partner-involved opportunities closed in the prior 90 days. Incomplete field population is the most common root cause of forecast inaccuracy in partner ecosystems.</w:t>
      </w:r>
    </w:p>
    <w:p w14:paraId="703E1395" w14:textId="2D53AB9C" w:rsidR="00984F00" w:rsidRDefault="00C60693">
      <w:pPr>
        <w:pStyle w:val="Heading1"/>
        <w:pBdr>
          <w:bottom w:val="single" w:sz="8" w:space="4" w:color="46624C"/>
        </w:pBdr>
      </w:pPr>
      <w:r>
        <w:t>11 | Best</w:t>
      </w:r>
      <w:r w:rsidR="00250101">
        <w:t xml:space="preserve"> Practices Summary</w:t>
      </w:r>
    </w:p>
    <w:p w14:paraId="188236EA" w14:textId="77777777" w:rsidR="00984F00" w:rsidRDefault="00250101">
      <w:pPr>
        <w:pStyle w:val="Heading2"/>
      </w:pPr>
      <w:r>
        <w:t>Forecasting Principles</w:t>
      </w:r>
    </w:p>
    <w:p w14:paraId="5681652E" w14:textId="47EA12DE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Forecast partner pipeline separately from direct </w:t>
      </w:r>
      <w:r w:rsidR="00C60693">
        <w:t>sales,</w:t>
      </w:r>
      <w:r>
        <w:t xml:space="preserve"> partner motions behave differently</w:t>
      </w:r>
    </w:p>
    <w:p w14:paraId="3D137C10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Model conversion rates by partner type, not as a blanket assumption</w:t>
      </w:r>
    </w:p>
    <w:p w14:paraId="2F8B504C" w14:textId="063BA289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Track partner </w:t>
      </w:r>
      <w:proofErr w:type="gramStart"/>
      <w:r>
        <w:t>influence</w:t>
      </w:r>
      <w:proofErr w:type="gramEnd"/>
      <w:r>
        <w:t xml:space="preserve"> </w:t>
      </w:r>
      <w:r w:rsidR="00C60693">
        <w:t>explicitly,</w:t>
      </w:r>
      <w:r>
        <w:t xml:space="preserve"> otherwise ecosystem value is invisible to leadership</w:t>
      </w:r>
    </w:p>
    <w:p w14:paraId="0E944F53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Use historical partner-specific data to set probabilities, not direct sales benchmarks</w:t>
      </w:r>
    </w:p>
    <w:p w14:paraId="6AB3E337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Build pipeline coverage targets by partner type, not a single universal target</w:t>
      </w:r>
    </w:p>
    <w:p w14:paraId="12209A70" w14:textId="2F4858B2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Measure engaged sellers, not total partner </w:t>
      </w:r>
      <w:r w:rsidR="00C60693">
        <w:t>logos,</w:t>
      </w:r>
      <w:r>
        <w:t xml:space="preserve"> it is the most predictive input</w:t>
      </w:r>
    </w:p>
    <w:p w14:paraId="07D16BEB" w14:textId="77777777" w:rsidR="00984F00" w:rsidRDefault="00250101">
      <w:pPr>
        <w:pStyle w:val="Heading2"/>
      </w:pPr>
      <w:r>
        <w:t>Reporting Principles</w:t>
      </w:r>
    </w:p>
    <w:p w14:paraId="0825D6D0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Separate partner sourced, influenced, co-sell, and resell ARR in all executive reporting</w:t>
      </w:r>
    </w:p>
    <w:p w14:paraId="2EAEA522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Report partner ARR as a % of total ARR on every leadership dashboard</w:t>
      </w:r>
    </w:p>
    <w:p w14:paraId="7D01CC56" w14:textId="06F12EDE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Include partner pipeline velocity alongside pipeline </w:t>
      </w:r>
      <w:r w:rsidR="00C60693">
        <w:t>value,</w:t>
      </w:r>
      <w:r>
        <w:t xml:space="preserve"> movement matters as much as volume</w:t>
      </w:r>
    </w:p>
    <w:p w14:paraId="4908E7EB" w14:textId="2174D879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Variance analysis is not </w:t>
      </w:r>
      <w:r w:rsidR="00C60693">
        <w:t>optional,</w:t>
      </w:r>
      <w:r>
        <w:t xml:space="preserve"> review forecast vs. actual every quarter and document why gaps occurred</w:t>
      </w:r>
    </w:p>
    <w:p w14:paraId="75B5F2C4" w14:textId="77777777" w:rsidR="00984F00" w:rsidRDefault="00250101">
      <w:pPr>
        <w:pStyle w:val="Heading2"/>
      </w:pPr>
      <w:r>
        <w:t>Operations Principles</w:t>
      </w:r>
    </w:p>
    <w:p w14:paraId="602F4595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Enforce CRM field completion as a deal registration requirement</w:t>
      </w:r>
    </w:p>
    <w:p w14:paraId="108D530D" w14:textId="3ACDD9DB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 xml:space="preserve">Review partner productivity metrics </w:t>
      </w:r>
      <w:r w:rsidR="00C60693">
        <w:t>monthly,</w:t>
      </w:r>
      <w:r>
        <w:t xml:space="preserve"> not just at QBRs</w:t>
      </w:r>
    </w:p>
    <w:p w14:paraId="18B7DF1C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Treat partner seller engagement rate as a leading indicator, not a lagging one</w:t>
      </w:r>
    </w:p>
    <w:p w14:paraId="60F6F04A" w14:textId="77777777" w:rsidR="00984F00" w:rsidRDefault="00250101">
      <w:pPr>
        <w:pStyle w:val="ListParagraph"/>
        <w:numPr>
          <w:ilvl w:val="0"/>
          <w:numId w:val="2"/>
        </w:numPr>
        <w:spacing w:before="60" w:after="60"/>
      </w:pPr>
      <w:r>
        <w:t>Build partner pipeline reviews into your monthly operating cadence, separate from direct sales calls</w:t>
      </w:r>
    </w:p>
    <w:p w14:paraId="7C6D2CC8" w14:textId="77777777" w:rsidR="00984F00" w:rsidRDefault="00984F00">
      <w:pPr>
        <w:spacing w:before="400"/>
      </w:pPr>
    </w:p>
    <w:p w14:paraId="035BF610" w14:textId="77777777" w:rsidR="00984F00" w:rsidRDefault="00984F00">
      <w:pPr>
        <w:pBdr>
          <w:top w:val="single" w:sz="8" w:space="0" w:color="46624C"/>
        </w:pBdr>
        <w:spacing w:after="240"/>
      </w:pPr>
    </w:p>
    <w:p w14:paraId="79FB6B99" w14:textId="77777777" w:rsidR="00984F00" w:rsidRDefault="00250101">
      <w:pPr>
        <w:spacing w:after="80"/>
        <w:jc w:val="center"/>
      </w:pPr>
      <w:r>
        <w:rPr>
          <w:color w:val="A1ACA6"/>
          <w:sz w:val="20"/>
          <w:szCs w:val="20"/>
        </w:rPr>
        <w:t xml:space="preserve">Built by Jamie </w:t>
      </w:r>
      <w:proofErr w:type="gramStart"/>
      <w:r>
        <w:rPr>
          <w:color w:val="A1ACA6"/>
          <w:sz w:val="20"/>
          <w:szCs w:val="20"/>
        </w:rPr>
        <w:t>Reid  ·</w:t>
      </w:r>
      <w:proofErr w:type="gramEnd"/>
      <w:r>
        <w:rPr>
          <w:color w:val="A1ACA6"/>
          <w:sz w:val="20"/>
          <w:szCs w:val="20"/>
        </w:rPr>
        <w:t xml:space="preserve">  </w:t>
      </w:r>
      <w:r>
        <w:rPr>
          <w:b/>
          <w:bCs/>
          <w:color w:val="46624C"/>
          <w:sz w:val="20"/>
          <w:szCs w:val="20"/>
        </w:rPr>
        <w:t>jamiereidchannelstrategy.com</w:t>
      </w:r>
    </w:p>
    <w:p w14:paraId="3D5BB7BB" w14:textId="77777777" w:rsidR="00984F00" w:rsidRDefault="00250101">
      <w:pPr>
        <w:jc w:val="center"/>
      </w:pPr>
      <w:r>
        <w:rPr>
          <w:i/>
          <w:iCs/>
          <w:color w:val="A1ACA6"/>
          <w:sz w:val="20"/>
          <w:szCs w:val="20"/>
        </w:rPr>
        <w:t>Channel &amp; Partner Ecosystem Strategy</w:t>
      </w:r>
    </w:p>
    <w:sectPr w:rsidR="00984F0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0F51" w14:textId="77777777" w:rsidR="00250101" w:rsidRDefault="00250101">
      <w:r>
        <w:separator/>
      </w:r>
    </w:p>
  </w:endnote>
  <w:endnote w:type="continuationSeparator" w:id="0">
    <w:p w14:paraId="608BB6A7" w14:textId="77777777" w:rsidR="00250101" w:rsidRDefault="0025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F2A" w14:textId="77777777" w:rsidR="00984F00" w:rsidRDefault="00250101">
    <w:pPr>
      <w:pBdr>
        <w:top w:val="single" w:sz="4" w:space="4" w:color="D0D8D2"/>
      </w:pBdr>
      <w:spacing w:before="120"/>
    </w:pPr>
    <w:r>
      <w:rPr>
        <w:color w:val="A1ACA6"/>
        <w:sz w:val="18"/>
        <w:szCs w:val="18"/>
      </w:rPr>
      <w:t xml:space="preserve">jamiereidchannelstrategy.com   |   Page </w:t>
    </w:r>
    <w:r>
      <w:rPr>
        <w:color w:val="A1ACA6"/>
        <w:sz w:val="18"/>
        <w:szCs w:val="18"/>
      </w:rPr>
      <w:fldChar w:fldCharType="begin"/>
    </w:r>
    <w:r>
      <w:rPr>
        <w:color w:val="A1ACA6"/>
        <w:sz w:val="18"/>
        <w:szCs w:val="18"/>
      </w:rPr>
      <w:instrText>PAGE</w:instrText>
    </w:r>
    <w:r>
      <w:rPr>
        <w:color w:val="A1ACA6"/>
        <w:sz w:val="18"/>
        <w:szCs w:val="18"/>
      </w:rPr>
      <w:fldChar w:fldCharType="separate"/>
    </w:r>
    <w:r w:rsidR="00C60693">
      <w:rPr>
        <w:noProof/>
        <w:color w:val="A1ACA6"/>
        <w:sz w:val="18"/>
        <w:szCs w:val="18"/>
      </w:rPr>
      <w:t>1</w:t>
    </w:r>
    <w:r>
      <w:rPr>
        <w:color w:val="A1AC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06CD" w14:textId="77777777" w:rsidR="00250101" w:rsidRDefault="00250101">
      <w:r>
        <w:separator/>
      </w:r>
    </w:p>
  </w:footnote>
  <w:footnote w:type="continuationSeparator" w:id="0">
    <w:p w14:paraId="2722E8F1" w14:textId="77777777" w:rsidR="00250101" w:rsidRDefault="0025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69EC" w14:textId="77777777" w:rsidR="00984F00" w:rsidRDefault="00250101">
    <w:pPr>
      <w:pBdr>
        <w:bottom w:val="single" w:sz="4" w:space="4" w:color="D0D8D2"/>
      </w:pBdr>
      <w:spacing w:after="120"/>
    </w:pPr>
    <w:r>
      <w:rPr>
        <w:color w:val="A1ACA6"/>
        <w:sz w:val="18"/>
        <w:szCs w:val="18"/>
      </w:rPr>
      <w:t>Partner ARR &amp; Forecast Modeling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815"/>
    <w:multiLevelType w:val="hybridMultilevel"/>
    <w:tmpl w:val="5CA832DA"/>
    <w:lvl w:ilvl="0" w:tplc="24A41C16">
      <w:start w:val="1"/>
      <w:numFmt w:val="bullet"/>
      <w:lvlText w:val="–"/>
      <w:lvlJc w:val="left"/>
      <w:pPr>
        <w:ind w:left="900" w:hanging="360"/>
      </w:pPr>
      <w:rPr>
        <w:color w:val="A1ACA6"/>
      </w:rPr>
    </w:lvl>
    <w:lvl w:ilvl="1" w:tplc="DA98A154">
      <w:numFmt w:val="decimal"/>
      <w:lvlText w:val=""/>
      <w:lvlJc w:val="left"/>
    </w:lvl>
    <w:lvl w:ilvl="2" w:tplc="988A7D1A">
      <w:numFmt w:val="decimal"/>
      <w:lvlText w:val=""/>
      <w:lvlJc w:val="left"/>
    </w:lvl>
    <w:lvl w:ilvl="3" w:tplc="F22C10C2">
      <w:numFmt w:val="decimal"/>
      <w:lvlText w:val=""/>
      <w:lvlJc w:val="left"/>
    </w:lvl>
    <w:lvl w:ilvl="4" w:tplc="28105160">
      <w:numFmt w:val="decimal"/>
      <w:lvlText w:val=""/>
      <w:lvlJc w:val="left"/>
    </w:lvl>
    <w:lvl w:ilvl="5" w:tplc="5F88733A">
      <w:numFmt w:val="decimal"/>
      <w:lvlText w:val=""/>
      <w:lvlJc w:val="left"/>
    </w:lvl>
    <w:lvl w:ilvl="6" w:tplc="EA36D4C4">
      <w:numFmt w:val="decimal"/>
      <w:lvlText w:val=""/>
      <w:lvlJc w:val="left"/>
    </w:lvl>
    <w:lvl w:ilvl="7" w:tplc="008E8E38">
      <w:numFmt w:val="decimal"/>
      <w:lvlText w:val=""/>
      <w:lvlJc w:val="left"/>
    </w:lvl>
    <w:lvl w:ilvl="8" w:tplc="7C26337C">
      <w:numFmt w:val="decimal"/>
      <w:lvlText w:val=""/>
      <w:lvlJc w:val="left"/>
    </w:lvl>
  </w:abstractNum>
  <w:abstractNum w:abstractNumId="1" w15:restartNumberingAfterBreak="0">
    <w:nsid w:val="49952E37"/>
    <w:multiLevelType w:val="hybridMultilevel"/>
    <w:tmpl w:val="304417D4"/>
    <w:lvl w:ilvl="0" w:tplc="6BB6B4D2">
      <w:start w:val="1"/>
      <w:numFmt w:val="bullet"/>
      <w:lvlText w:val="●"/>
      <w:lvlJc w:val="left"/>
      <w:pPr>
        <w:ind w:left="720" w:hanging="360"/>
      </w:pPr>
    </w:lvl>
    <w:lvl w:ilvl="1" w:tplc="64904A74">
      <w:start w:val="1"/>
      <w:numFmt w:val="bullet"/>
      <w:lvlText w:val="○"/>
      <w:lvlJc w:val="left"/>
      <w:pPr>
        <w:ind w:left="1440" w:hanging="360"/>
      </w:pPr>
    </w:lvl>
    <w:lvl w:ilvl="2" w:tplc="9EF0FAFA">
      <w:start w:val="1"/>
      <w:numFmt w:val="bullet"/>
      <w:lvlText w:val="■"/>
      <w:lvlJc w:val="left"/>
      <w:pPr>
        <w:ind w:left="2160" w:hanging="360"/>
      </w:pPr>
    </w:lvl>
    <w:lvl w:ilvl="3" w:tplc="1116E21A">
      <w:start w:val="1"/>
      <w:numFmt w:val="bullet"/>
      <w:lvlText w:val="●"/>
      <w:lvlJc w:val="left"/>
      <w:pPr>
        <w:ind w:left="2880" w:hanging="360"/>
      </w:pPr>
    </w:lvl>
    <w:lvl w:ilvl="4" w:tplc="9124971C">
      <w:start w:val="1"/>
      <w:numFmt w:val="bullet"/>
      <w:lvlText w:val="○"/>
      <w:lvlJc w:val="left"/>
      <w:pPr>
        <w:ind w:left="3600" w:hanging="360"/>
      </w:pPr>
    </w:lvl>
    <w:lvl w:ilvl="5" w:tplc="AE300EDA">
      <w:start w:val="1"/>
      <w:numFmt w:val="bullet"/>
      <w:lvlText w:val="■"/>
      <w:lvlJc w:val="left"/>
      <w:pPr>
        <w:ind w:left="4320" w:hanging="360"/>
      </w:pPr>
    </w:lvl>
    <w:lvl w:ilvl="6" w:tplc="19460306">
      <w:start w:val="1"/>
      <w:numFmt w:val="bullet"/>
      <w:lvlText w:val="●"/>
      <w:lvlJc w:val="left"/>
      <w:pPr>
        <w:ind w:left="5040" w:hanging="360"/>
      </w:pPr>
    </w:lvl>
    <w:lvl w:ilvl="7" w:tplc="4BB4BE00">
      <w:start w:val="1"/>
      <w:numFmt w:val="bullet"/>
      <w:lvlText w:val="●"/>
      <w:lvlJc w:val="left"/>
      <w:pPr>
        <w:ind w:left="5760" w:hanging="360"/>
      </w:pPr>
    </w:lvl>
    <w:lvl w:ilvl="8" w:tplc="AE3EFA9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CCC7CD1"/>
    <w:multiLevelType w:val="hybridMultilevel"/>
    <w:tmpl w:val="411AEA0C"/>
    <w:lvl w:ilvl="0" w:tplc="4CA60576">
      <w:start w:val="1"/>
      <w:numFmt w:val="decimal"/>
      <w:lvlText w:val="%1."/>
      <w:lvlJc w:val="left"/>
      <w:pPr>
        <w:ind w:left="720" w:hanging="360"/>
      </w:pPr>
    </w:lvl>
    <w:lvl w:ilvl="1" w:tplc="C34277EA">
      <w:numFmt w:val="decimal"/>
      <w:lvlText w:val=""/>
      <w:lvlJc w:val="left"/>
    </w:lvl>
    <w:lvl w:ilvl="2" w:tplc="BE72CF7E">
      <w:numFmt w:val="decimal"/>
      <w:lvlText w:val=""/>
      <w:lvlJc w:val="left"/>
    </w:lvl>
    <w:lvl w:ilvl="3" w:tplc="B7945AFE">
      <w:numFmt w:val="decimal"/>
      <w:lvlText w:val=""/>
      <w:lvlJc w:val="left"/>
    </w:lvl>
    <w:lvl w:ilvl="4" w:tplc="243C8BFC">
      <w:numFmt w:val="decimal"/>
      <w:lvlText w:val=""/>
      <w:lvlJc w:val="left"/>
    </w:lvl>
    <w:lvl w:ilvl="5" w:tplc="DFB4C1F8">
      <w:numFmt w:val="decimal"/>
      <w:lvlText w:val=""/>
      <w:lvlJc w:val="left"/>
    </w:lvl>
    <w:lvl w:ilvl="6" w:tplc="F2A4224A">
      <w:numFmt w:val="decimal"/>
      <w:lvlText w:val=""/>
      <w:lvlJc w:val="left"/>
    </w:lvl>
    <w:lvl w:ilvl="7" w:tplc="DF848D0E">
      <w:numFmt w:val="decimal"/>
      <w:lvlText w:val=""/>
      <w:lvlJc w:val="left"/>
    </w:lvl>
    <w:lvl w:ilvl="8" w:tplc="E146DBCC">
      <w:numFmt w:val="decimal"/>
      <w:lvlText w:val=""/>
      <w:lvlJc w:val="left"/>
    </w:lvl>
  </w:abstractNum>
  <w:abstractNum w:abstractNumId="3" w15:restartNumberingAfterBreak="0">
    <w:nsid w:val="6C9563C7"/>
    <w:multiLevelType w:val="hybridMultilevel"/>
    <w:tmpl w:val="08D4F44E"/>
    <w:lvl w:ilvl="0" w:tplc="EE84D788">
      <w:start w:val="1"/>
      <w:numFmt w:val="bullet"/>
      <w:lvlText w:val="•"/>
      <w:lvlJc w:val="left"/>
      <w:pPr>
        <w:ind w:left="600" w:hanging="360"/>
      </w:pPr>
      <w:rPr>
        <w:color w:val="46624C"/>
      </w:rPr>
    </w:lvl>
    <w:lvl w:ilvl="1" w:tplc="2F32EA8A">
      <w:numFmt w:val="decimal"/>
      <w:lvlText w:val=""/>
      <w:lvlJc w:val="left"/>
    </w:lvl>
    <w:lvl w:ilvl="2" w:tplc="41188E58">
      <w:numFmt w:val="decimal"/>
      <w:lvlText w:val=""/>
      <w:lvlJc w:val="left"/>
    </w:lvl>
    <w:lvl w:ilvl="3" w:tplc="40042F16">
      <w:numFmt w:val="decimal"/>
      <w:lvlText w:val=""/>
      <w:lvlJc w:val="left"/>
    </w:lvl>
    <w:lvl w:ilvl="4" w:tplc="E56E2B10">
      <w:numFmt w:val="decimal"/>
      <w:lvlText w:val=""/>
      <w:lvlJc w:val="left"/>
    </w:lvl>
    <w:lvl w:ilvl="5" w:tplc="5E125F24">
      <w:numFmt w:val="decimal"/>
      <w:lvlText w:val=""/>
      <w:lvlJc w:val="left"/>
    </w:lvl>
    <w:lvl w:ilvl="6" w:tplc="83ACD0E0">
      <w:numFmt w:val="decimal"/>
      <w:lvlText w:val=""/>
      <w:lvlJc w:val="left"/>
    </w:lvl>
    <w:lvl w:ilvl="7" w:tplc="AA3E9E1E">
      <w:numFmt w:val="decimal"/>
      <w:lvlText w:val=""/>
      <w:lvlJc w:val="left"/>
    </w:lvl>
    <w:lvl w:ilvl="8" w:tplc="835A840A">
      <w:numFmt w:val="decimal"/>
      <w:lvlText w:val=""/>
      <w:lvlJc w:val="left"/>
    </w:lvl>
  </w:abstractNum>
  <w:num w:numId="1" w16cid:durableId="262959239">
    <w:abstractNumId w:val="1"/>
    <w:lvlOverride w:ilvl="0">
      <w:startOverride w:val="1"/>
    </w:lvlOverride>
  </w:num>
  <w:num w:numId="2" w16cid:durableId="144468945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00"/>
    <w:rsid w:val="00250101"/>
    <w:rsid w:val="00984F00"/>
    <w:rsid w:val="00C60693"/>
    <w:rsid w:val="00E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3A64"/>
  <w15:docId w15:val="{AAE45845-2A47-4EF4-9E78-A57E2857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="DM Sans" w:hAnsi="DM Sans" w:cs="DM Sans"/>
        <w:color w:val="14141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80" w:after="200"/>
      <w:outlineLvl w:val="0"/>
    </w:pPr>
    <w:rPr>
      <w:rFonts w:ascii="Bebas Neue" w:eastAsia="Bebas Neue" w:hAnsi="Bebas Neue" w:cs="Bebas Neue"/>
      <w:color w:val="46624C"/>
      <w:sz w:val="44"/>
      <w:szCs w:val="44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2B3D2F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40" w:after="8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jamie reid</cp:lastModifiedBy>
  <cp:revision>2</cp:revision>
  <dcterms:created xsi:type="dcterms:W3CDTF">2026-03-10T16:28:00Z</dcterms:created>
  <dcterms:modified xsi:type="dcterms:W3CDTF">2026-03-10T16:28:00Z</dcterms:modified>
</cp:coreProperties>
</file>